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9FA9" w14:textId="77777777" w:rsidR="00700083" w:rsidRPr="00700083" w:rsidRDefault="00700083" w:rsidP="00801422">
      <w:pPr>
        <w:rPr>
          <w:rFonts w:ascii="Aptos Serif" w:hAnsi="Aptos Serif" w:cs="Aptos Serif"/>
          <w:color w:val="0F4761"/>
          <w:sz w:val="48"/>
          <w:szCs w:val="48"/>
        </w:rPr>
      </w:pPr>
      <w:r w:rsidRPr="00700083">
        <w:rPr>
          <w:rFonts w:ascii="Aptos Serif" w:hAnsi="Aptos Serif" w:cs="Aptos Serif"/>
          <w:color w:val="0F4761"/>
          <w:sz w:val="48"/>
          <w:szCs w:val="48"/>
        </w:rPr>
        <w:t>Formazione per formatori: Introduzione e panoramica</w:t>
      </w:r>
    </w:p>
    <w:p w14:paraId="3FDD3929" w14:textId="77777777" w:rsidR="00700083" w:rsidRDefault="00700083" w:rsidP="00700083">
      <w:pPr>
        <w:pStyle w:val="StandardWeb"/>
        <w:spacing w:before="0" w:beforeAutospacing="0" w:after="160" w:afterAutospacing="0"/>
      </w:pPr>
      <w:r>
        <w:rPr>
          <w:rFonts w:ascii="Aptos" w:hAnsi="Aptos"/>
          <w:color w:val="000000"/>
          <w:sz w:val="22"/>
          <w:szCs w:val="22"/>
        </w:rPr>
        <w:t>Benvenuti a questo programma di formazione per formatori della durata di tre giorni dedicato agli appalti sostenibili: un corso pratico e orientato all’applicazione, progettato per consentire ai formatori di diventare diffusori sicuri di conoscenze all’interno del proprio comune e oltre.</w:t>
      </w:r>
    </w:p>
    <w:p w14:paraId="24E6A520" w14:textId="77777777" w:rsidR="00700083" w:rsidRDefault="00700083" w:rsidP="00700083">
      <w:pPr>
        <w:pStyle w:val="StandardWeb"/>
        <w:spacing w:before="0" w:beforeAutospacing="0" w:after="160" w:afterAutospacing="0"/>
      </w:pPr>
      <w:r>
        <w:rPr>
          <w:rFonts w:ascii="Aptos" w:hAnsi="Aptos"/>
          <w:color w:val="000000"/>
          <w:sz w:val="22"/>
          <w:szCs w:val="22"/>
        </w:rPr>
        <w:t>Gli appalti sostenibili non sono più un concetto di nicchia. Ancorati a quadri internazionali quali gli Obiettivi di Sviluppo Sostenibile (SDG) delle Nazioni Unite e il quadro politico dell’Unione Europea, rappresentano un approccio strategico all’utilizzo del potere d’acquisto pubblico per creare valore ambientale, sociale ed economico. Per i piccoli comuni in particolare, gli appalti sono una delle leve più potenti a disposizione per guidare lo sviluppo economico locale, rafforzare la resilienza, ridurre i rischi e contribuire agli SDG.</w:t>
      </w:r>
    </w:p>
    <w:p w14:paraId="3F597E30" w14:textId="77777777" w:rsidR="00700083" w:rsidRDefault="00700083" w:rsidP="00700083">
      <w:pPr>
        <w:pStyle w:val="StandardWeb"/>
        <w:spacing w:before="0" w:beforeAutospacing="0" w:after="160" w:afterAutospacing="0"/>
      </w:pPr>
      <w:r>
        <w:rPr>
          <w:rFonts w:ascii="Aptos" w:hAnsi="Aptos"/>
          <w:color w:val="000000"/>
          <w:sz w:val="22"/>
          <w:szCs w:val="22"/>
        </w:rPr>
        <w:t>Questo corso è stato progettato con un duplice scopo:</w:t>
      </w:r>
    </w:p>
    <w:p w14:paraId="674ACECD" w14:textId="77777777" w:rsidR="00700083" w:rsidRDefault="00700083" w:rsidP="00700083">
      <w:pPr>
        <w:pStyle w:val="StandardWeb"/>
        <w:numPr>
          <w:ilvl w:val="0"/>
          <w:numId w:val="28"/>
        </w:numPr>
        <w:spacing w:before="0" w:beforeAutospacing="0" w:after="160" w:afterAutospacing="0"/>
        <w:textAlignment w:val="baseline"/>
        <w:rPr>
          <w:rFonts w:ascii="Aptos" w:hAnsi="Aptos"/>
          <w:color w:val="000000"/>
          <w:sz w:val="22"/>
          <w:szCs w:val="22"/>
        </w:rPr>
      </w:pPr>
      <w:r>
        <w:rPr>
          <w:rFonts w:ascii="Aptos" w:hAnsi="Aptos"/>
          <w:color w:val="000000"/>
          <w:sz w:val="22"/>
          <w:szCs w:val="22"/>
        </w:rPr>
        <w:t>Approfondire la comprensione dei partecipanti in materia di appalti sostenibili, sia dal punto di vista teorico che pratico.</w:t>
      </w:r>
    </w:p>
    <w:p w14:paraId="3BEC86BC" w14:textId="77777777" w:rsidR="00700083" w:rsidRDefault="00700083" w:rsidP="00700083">
      <w:pPr>
        <w:pStyle w:val="StandardWeb"/>
        <w:numPr>
          <w:ilvl w:val="0"/>
          <w:numId w:val="28"/>
        </w:numPr>
        <w:spacing w:before="0" w:beforeAutospacing="0" w:after="160" w:afterAutospacing="0"/>
        <w:textAlignment w:val="baseline"/>
        <w:rPr>
          <w:rFonts w:ascii="Aptos" w:hAnsi="Aptos"/>
          <w:color w:val="000000"/>
          <w:sz w:val="22"/>
          <w:szCs w:val="22"/>
        </w:rPr>
      </w:pPr>
      <w:r>
        <w:rPr>
          <w:rFonts w:ascii="Aptos" w:hAnsi="Aptos"/>
          <w:color w:val="000000"/>
          <w:sz w:val="22"/>
          <w:szCs w:val="22"/>
        </w:rPr>
        <w:t>Fornire loro le competenze, gli strumenti e la sicurezza necessari per formare efficacemente altre persone nel loro contesto locale.</w:t>
      </w:r>
    </w:p>
    <w:p w14:paraId="3C91F154" w14:textId="77777777" w:rsidR="00700083" w:rsidRDefault="00700083" w:rsidP="00801422">
      <w:pPr>
        <w:rPr>
          <w:rFonts w:asciiTheme="minorHAnsi" w:hAnsiTheme="minorHAnsi"/>
          <w:b/>
          <w:bCs/>
          <w:lang w:val="de-DE"/>
        </w:rPr>
      </w:pPr>
    </w:p>
    <w:p w14:paraId="1A33013F" w14:textId="77777777" w:rsidR="00700083" w:rsidRPr="00700083" w:rsidRDefault="00700083" w:rsidP="00700083">
      <w:pPr>
        <w:spacing w:line="240" w:lineRule="auto"/>
        <w:rPr>
          <w:rFonts w:ascii="Times New Roman" w:eastAsia="Times New Roman" w:hAnsi="Times New Roman" w:cs="Times New Roman"/>
          <w:sz w:val="24"/>
          <w:szCs w:val="24"/>
          <w:lang w:val="de-DE" w:bidi="ar-SA"/>
        </w:rPr>
      </w:pPr>
      <w:r w:rsidRPr="00700083">
        <w:rPr>
          <w:rFonts w:ascii="Aptos" w:eastAsia="Times New Roman" w:hAnsi="Aptos" w:cs="Times New Roman"/>
          <w:b/>
          <w:bCs/>
          <w:color w:val="000000"/>
          <w:lang w:val="de-DE" w:bidi="ar-SA"/>
        </w:rPr>
        <w:t>Struttura del corso</w:t>
      </w:r>
    </w:p>
    <w:p w14:paraId="31C3973E" w14:textId="77777777" w:rsidR="00700083" w:rsidRPr="00700083" w:rsidRDefault="00700083" w:rsidP="00700083">
      <w:pPr>
        <w:spacing w:line="240" w:lineRule="auto"/>
        <w:rPr>
          <w:rFonts w:ascii="Times New Roman" w:eastAsia="Times New Roman" w:hAnsi="Times New Roman" w:cs="Times New Roman"/>
          <w:sz w:val="24"/>
          <w:szCs w:val="24"/>
          <w:lang w:val="de-DE" w:bidi="ar-SA"/>
        </w:rPr>
      </w:pPr>
      <w:r w:rsidRPr="00700083">
        <w:rPr>
          <w:rFonts w:ascii="Aptos" w:eastAsia="Times New Roman" w:hAnsi="Aptos" w:cs="Times New Roman"/>
          <w:color w:val="000000"/>
          <w:lang w:val="de-DE" w:bidi="ar-SA"/>
        </w:rPr>
        <w:t>Nel corso di tre giorni intensivi e interattivi, i partecipanti passeranno dalle conoscenze di base all'implementazione pratica e infine alla padronanza dell'arte di tenere la propria formazione.</w:t>
      </w:r>
    </w:p>
    <w:p w14:paraId="378DF8B2" w14:textId="77777777" w:rsidR="00700083" w:rsidRPr="00700083" w:rsidRDefault="00700083" w:rsidP="00700083">
      <w:pPr>
        <w:spacing w:line="240" w:lineRule="auto"/>
        <w:rPr>
          <w:rFonts w:ascii="Times New Roman" w:eastAsia="Times New Roman" w:hAnsi="Times New Roman" w:cs="Times New Roman"/>
          <w:sz w:val="24"/>
          <w:szCs w:val="24"/>
          <w:lang w:val="de-DE" w:bidi="ar-SA"/>
        </w:rPr>
      </w:pPr>
      <w:r w:rsidRPr="00700083">
        <w:rPr>
          <w:rFonts w:ascii="Aptos" w:eastAsia="Times New Roman" w:hAnsi="Aptos" w:cs="Times New Roman"/>
          <w:b/>
          <w:bCs/>
          <w:color w:val="000000"/>
          <w:lang w:val="de-DE" w:bidi="ar-SA"/>
        </w:rPr>
        <w:t>Giorno 1 – Conoscenze</w:t>
      </w:r>
      <w:r w:rsidRPr="00700083">
        <w:rPr>
          <w:rFonts w:ascii="Aptos" w:eastAsia="Times New Roman" w:hAnsi="Aptos" w:cs="Times New Roman"/>
          <w:color w:val="000000"/>
          <w:lang w:val="de-DE" w:bidi="ar-SA"/>
        </w:rPr>
        <w:br/>
        <w:t>Iniziamo con la costruzione di una comprensione condivisa degli appalti sostenibili: definizioni, dimensioni e contesto politico. Esploriamo perché sono particolarmente importanti per i piccoli comuni, in quanto motore di iniziative di economia circolare, sviluppo del mercato locale, conformità e riduzione dei rischi. Attraverso giochi di ruolo, esercizi di argomentazione e discussioni su casi giuridici, i partecipanti impareranno come integrare gli aspetti di sostenibilità nei processi di appalto con certezza giuridica. La giornata introduce anche le competenze essenziali del formatore, compresi i principi dell'apprendimento degli adulti, le tecniche di facilitazione e le strategie per affrontare le sfide comuni della formazione.</w:t>
      </w:r>
    </w:p>
    <w:p w14:paraId="5C8A8FF7" w14:textId="77777777" w:rsidR="00700083" w:rsidRPr="00700083" w:rsidRDefault="00700083" w:rsidP="00700083">
      <w:pPr>
        <w:spacing w:line="240" w:lineRule="auto"/>
        <w:rPr>
          <w:rFonts w:ascii="Times New Roman" w:eastAsia="Times New Roman" w:hAnsi="Times New Roman" w:cs="Times New Roman"/>
          <w:sz w:val="24"/>
          <w:szCs w:val="24"/>
          <w:lang w:val="de-DE" w:bidi="ar-SA"/>
        </w:rPr>
      </w:pPr>
      <w:r w:rsidRPr="00700083">
        <w:rPr>
          <w:rFonts w:ascii="Aptos" w:eastAsia="Times New Roman" w:hAnsi="Aptos" w:cs="Times New Roman"/>
          <w:b/>
          <w:bCs/>
          <w:color w:val="000000"/>
          <w:lang w:val="de-DE" w:bidi="ar-SA"/>
        </w:rPr>
        <w:t>Giorno 2 – Analisi</w:t>
      </w:r>
      <w:r w:rsidRPr="00700083">
        <w:rPr>
          <w:rFonts w:ascii="Aptos" w:eastAsia="Times New Roman" w:hAnsi="Aptos" w:cs="Times New Roman"/>
          <w:color w:val="000000"/>
          <w:lang w:val="de-DE" w:bidi="ar-SA"/>
        </w:rPr>
        <w:br/>
        <w:t>L'attenzione si sposta sull'applicazione. I partecipanti impareranno come pianificare appalti sostenibili utilizzando strumenti quali l'analisi della spesa, le strategie di coinvolgimento del mercato, lo sviluppo di criteri di sostenibilità e il calcolo dei costi del ciclo di vita. Attraverso workshop pratici di gruppo, analizzeranno i processi di appalto, revisioneranno i documenti di gara e lavoreranno con clausole modello e questionari per i fornitori. Casi di studio reali provenienti da comuni simili metteranno in evidenza sia i fattori di successo che le insidie comuni.</w:t>
      </w:r>
    </w:p>
    <w:p w14:paraId="710A3E72" w14:textId="77777777" w:rsidR="00700083" w:rsidRDefault="00700083" w:rsidP="00700083">
      <w:pPr>
        <w:rPr>
          <w:rFonts w:ascii="Aptos" w:eastAsia="Times New Roman" w:hAnsi="Aptos" w:cs="Times New Roman"/>
          <w:color w:val="000000"/>
          <w:lang w:val="de-DE" w:bidi="ar-SA"/>
        </w:rPr>
      </w:pPr>
      <w:r w:rsidRPr="00700083">
        <w:rPr>
          <w:rFonts w:ascii="Aptos" w:eastAsia="Times New Roman" w:hAnsi="Aptos" w:cs="Times New Roman"/>
          <w:b/>
          <w:bCs/>
          <w:color w:val="000000"/>
          <w:lang w:val="de-DE" w:bidi="ar-SA"/>
        </w:rPr>
        <w:lastRenderedPageBreak/>
        <w:t>Giorno 3 – Pratica</w:t>
      </w:r>
      <w:r w:rsidRPr="00700083">
        <w:rPr>
          <w:rFonts w:ascii="Aptos" w:eastAsia="Times New Roman" w:hAnsi="Aptos" w:cs="Times New Roman"/>
          <w:color w:val="000000"/>
          <w:lang w:val="de-DE" w:bidi="ar-SA"/>
        </w:rPr>
        <w:br/>
        <w:t>L'ultimo giorno è dedicato a rafforzare la fiducia in se stessi come formatori. I partecipanti perfezioneranno un concetto di formazione locale, adatteranno i materiali al loro contesto specifico e si eserciteranno a semplificare concetti complessi di appalto. Ogni partecipante terrà una mini-sessione e riceverà un feedback strutturato dai colleghi e un coaching. Affronteremo anche il monitoraggio e la valutazione, inclusi KPI, meccanismi di rendicontazione e strategie per monitorare l'attuazione a livello locale. Il programma si conclude con la pianificazione delle azioni, le dichiarazioni di impegno e l'accesso a ulteriori risorse di supporto e comunità di pratica.</w:t>
      </w:r>
    </w:p>
    <w:p w14:paraId="7FE1040E" w14:textId="77777777" w:rsidR="00700083" w:rsidRDefault="00700083" w:rsidP="00700083">
      <w:pPr>
        <w:rPr>
          <w:rFonts w:ascii="Aptos" w:eastAsia="Times New Roman" w:hAnsi="Aptos" w:cs="Times New Roman"/>
          <w:color w:val="000000"/>
          <w:lang w:val="de-DE" w:bidi="ar-SA"/>
        </w:rPr>
      </w:pPr>
    </w:p>
    <w:p w14:paraId="77D8C2E6" w14:textId="77777777" w:rsidR="00700083" w:rsidRDefault="00700083" w:rsidP="00700083">
      <w:pPr>
        <w:pStyle w:val="StandardWeb"/>
        <w:spacing w:before="0" w:beforeAutospacing="0" w:after="160" w:afterAutospacing="0"/>
      </w:pPr>
      <w:r>
        <w:rPr>
          <w:rFonts w:ascii="Aptos" w:hAnsi="Aptos"/>
          <w:b/>
          <w:bCs/>
          <w:color w:val="000000"/>
          <w:sz w:val="22"/>
          <w:szCs w:val="22"/>
        </w:rPr>
        <w:t>Il nostro approccio</w:t>
      </w:r>
    </w:p>
    <w:p w14:paraId="51B9F8E0" w14:textId="77777777" w:rsidR="00700083" w:rsidRDefault="00700083" w:rsidP="00700083">
      <w:pPr>
        <w:pStyle w:val="StandardWeb"/>
        <w:spacing w:before="0" w:beforeAutospacing="0" w:after="160" w:afterAutospacing="0"/>
      </w:pPr>
      <w:r>
        <w:rPr>
          <w:rFonts w:ascii="Aptos" w:hAnsi="Aptos"/>
          <w:color w:val="000000"/>
          <w:sz w:val="22"/>
          <w:szCs w:val="22"/>
        </w:rPr>
        <w:t>Questo non è un corso basato su lezioni frontali. È partecipativo, pratico e guidato dai pari. I partecipanti impareranno facendo — attraverso esercizi, simulazioni, analisi di casi e attività pratiche. Alla fine del programma, non solo comprenderanno gli appalti sostenibili, ma saranno pronti a promuoverli, attuarli e formare altri a fare lo stesso.</w:t>
      </w:r>
    </w:p>
    <w:p w14:paraId="668D84DC" w14:textId="77777777" w:rsidR="00700083" w:rsidRDefault="00700083" w:rsidP="00700083">
      <w:pPr>
        <w:pStyle w:val="StandardWeb"/>
        <w:spacing w:before="0" w:beforeAutospacing="0" w:after="160" w:afterAutospacing="0"/>
      </w:pPr>
      <w:r>
        <w:rPr>
          <w:rFonts w:ascii="Aptos" w:hAnsi="Aptos"/>
          <w:color w:val="000000"/>
          <w:sz w:val="22"/>
          <w:szCs w:val="22"/>
        </w:rPr>
        <w:t>Insieme, miriamo a creare una rete di formatori competenti in grado di tradurre le ambizioni di sostenibilità in pratiche di appalto concrete, rafforzando così i comuni e le comunità.</w:t>
      </w:r>
    </w:p>
    <w:p w14:paraId="5E2EE3CE" w14:textId="77777777" w:rsidR="00700083" w:rsidRDefault="00700083" w:rsidP="00700083">
      <w:pPr>
        <w:pStyle w:val="StandardWeb"/>
        <w:spacing w:before="0" w:beforeAutospacing="0" w:after="160" w:afterAutospacing="0"/>
      </w:pPr>
      <w:r>
        <w:rPr>
          <w:rFonts w:ascii="Aptos" w:hAnsi="Aptos"/>
          <w:b/>
          <w:bCs/>
          <w:color w:val="000000"/>
          <w:sz w:val="22"/>
          <w:szCs w:val="22"/>
        </w:rPr>
        <w:t>Profilo dei partecipanti/formatori</w:t>
      </w:r>
      <w:r>
        <w:rPr>
          <w:rFonts w:ascii="Aptos" w:hAnsi="Aptos"/>
          <w:color w:val="000000"/>
          <w:sz w:val="22"/>
          <w:szCs w:val="22"/>
        </w:rPr>
        <w:br/>
        <w:t>I formatori dovrebbero idealmente essere professionisti con esperienza negli appalti comunali e nella sostenibilità o nella consulenza nel settore pubblico. Possono essere consulenti esterni, personale comunale, personale delle autorità regionali, dirigenti regionali, responsabili LEADER, personale di ONG o personale dell'amministrazione comunale.</w:t>
      </w:r>
    </w:p>
    <w:p w14:paraId="47E647A7" w14:textId="77777777" w:rsidR="00700083" w:rsidRDefault="00700083" w:rsidP="00700083">
      <w:pPr>
        <w:pStyle w:val="StandardWeb"/>
        <w:spacing w:before="0" w:beforeAutospacing="0" w:after="160" w:afterAutospacing="0"/>
      </w:pPr>
      <w:r>
        <w:rPr>
          <w:rFonts w:ascii="Aptos" w:hAnsi="Aptos"/>
          <w:b/>
          <w:bCs/>
          <w:color w:val="000000"/>
          <w:sz w:val="22"/>
          <w:szCs w:val="22"/>
        </w:rPr>
        <w:t>Destinatari dei corsi di formazione</w:t>
      </w:r>
      <w:r>
        <w:rPr>
          <w:rFonts w:ascii="Aptos" w:hAnsi="Aptos"/>
          <w:color w:val="000000"/>
          <w:sz w:val="22"/>
          <w:szCs w:val="22"/>
        </w:rPr>
        <w:br/>
        <w:t>Funzionari locali, responsabili degli appalti, impiegati comunali, responsabili della sostenibilità, presidi e personale amministrativo delle scuole e degli asili comunali.</w:t>
      </w:r>
    </w:p>
    <w:p w14:paraId="6857A822" w14:textId="77777777" w:rsidR="00700083" w:rsidRDefault="00700083" w:rsidP="00700083">
      <w:pPr>
        <w:pStyle w:val="StandardWeb"/>
        <w:spacing w:before="0" w:beforeAutospacing="0" w:after="160" w:afterAutospacing="0"/>
      </w:pPr>
      <w:r>
        <w:rPr>
          <w:rFonts w:ascii="Aptos" w:hAnsi="Aptos"/>
          <w:b/>
          <w:bCs/>
          <w:color w:val="000000"/>
          <w:sz w:val="22"/>
          <w:szCs w:val="22"/>
        </w:rPr>
        <w:t>Metodologia</w:t>
      </w:r>
      <w:r>
        <w:rPr>
          <w:rFonts w:ascii="Aptos" w:hAnsi="Aptos"/>
          <w:color w:val="000000"/>
          <w:sz w:val="22"/>
          <w:szCs w:val="22"/>
        </w:rPr>
        <w:br/>
        <w:t>Apprendimento misto (online + in presenza), workshop interattivi, casi di studio reali, liste di controllo e piani d'azione.</w:t>
      </w:r>
    </w:p>
    <w:p w14:paraId="6312044D" w14:textId="77777777" w:rsidR="00700083" w:rsidRDefault="00700083" w:rsidP="00700083">
      <w:pPr>
        <w:pStyle w:val="berschrift2"/>
        <w:rPr>
          <w:rFonts w:ascii="Aptos" w:hAnsi="Aptos"/>
          <w:color w:val="000000"/>
          <w:sz w:val="22"/>
          <w:szCs w:val="22"/>
        </w:rPr>
      </w:pPr>
      <w:r>
        <w:rPr>
          <w:rFonts w:ascii="Aptos" w:hAnsi="Aptos"/>
          <w:b/>
          <w:bCs/>
          <w:color w:val="000000"/>
          <w:sz w:val="22"/>
          <w:szCs w:val="22"/>
        </w:rPr>
        <w:lastRenderedPageBreak/>
        <w:t>Durata</w:t>
      </w:r>
      <w:r>
        <w:rPr>
          <w:rFonts w:ascii="Aptos" w:hAnsi="Aptos"/>
          <w:color w:val="000000"/>
          <w:sz w:val="22"/>
          <w:szCs w:val="22"/>
        </w:rPr>
        <w:br/>
        <w:t>Tre giorni di formazione per formatori, seguiti da sessioni di supporto periodiche o check-in. I moduli della formazione possono essere utilizzati in modo flessibile, ovvero possono anche essere distribuiti su più di tre giorni con un programma di mezza giornata.</w:t>
      </w:r>
    </w:p>
    <w:p w14:paraId="274B5046" w14:textId="77777777" w:rsidR="00700083" w:rsidRDefault="00700083" w:rsidP="00700083">
      <w:pPr>
        <w:pStyle w:val="berschrift2"/>
        <w:rPr>
          <w:rFonts w:ascii="Aptos" w:hAnsi="Aptos"/>
          <w:color w:val="000000"/>
          <w:sz w:val="22"/>
          <w:szCs w:val="22"/>
        </w:rPr>
      </w:pPr>
    </w:p>
    <w:p w14:paraId="22CA17F1" w14:textId="77777777" w:rsidR="00700083" w:rsidRPr="00700083" w:rsidRDefault="00700083">
      <w:pPr>
        <w:pStyle w:val="berschrift2"/>
        <w:rPr>
          <w:rFonts w:asciiTheme="minorHAnsi" w:eastAsia="Times New Roman" w:hAnsiTheme="minorHAnsi" w:cs="Times New Roman"/>
          <w:lang w:val="de-DE" w:bidi="ar-SA"/>
        </w:rPr>
      </w:pPr>
      <w:r w:rsidRPr="00700083">
        <w:rPr>
          <w:rFonts w:asciiTheme="minorHAnsi" w:hAnsiTheme="minorHAnsi"/>
          <w:color w:val="0F4761"/>
        </w:rPr>
        <w:t>Ripartizione giorno per giorno, materiale disponibile e istruzioni</w:t>
      </w:r>
    </w:p>
    <w:p w14:paraId="3E052BA7" w14:textId="77777777" w:rsidR="00700083" w:rsidRPr="00700083" w:rsidRDefault="00700083" w:rsidP="00700083">
      <w:pPr>
        <w:pStyle w:val="berschrift3"/>
        <w:rPr>
          <w:rFonts w:asciiTheme="minorHAnsi" w:hAnsiTheme="minorHAnsi"/>
          <w:sz w:val="32"/>
          <w:szCs w:val="32"/>
        </w:rPr>
      </w:pPr>
      <w:r w:rsidRPr="00700083">
        <w:rPr>
          <w:rFonts w:asciiTheme="minorHAnsi" w:hAnsiTheme="minorHAnsi" w:cs="Calibri"/>
          <w:color w:val="0F4761"/>
          <w:sz w:val="32"/>
          <w:szCs w:val="32"/>
        </w:rPr>
        <w:t>Giorno 1 – Conoscenze</w:t>
      </w:r>
    </w:p>
    <w:tbl>
      <w:tblPr>
        <w:tblW w:w="13887" w:type="dxa"/>
        <w:tblLayout w:type="fixed"/>
        <w:tblLook w:val="0400" w:firstRow="0" w:lastRow="0" w:firstColumn="0" w:lastColumn="0" w:noHBand="0" w:noVBand="1"/>
      </w:tblPr>
      <w:tblGrid>
        <w:gridCol w:w="810"/>
        <w:gridCol w:w="3225"/>
        <w:gridCol w:w="2565"/>
        <w:gridCol w:w="7287"/>
      </w:tblGrid>
      <w:tr w:rsidR="00700083" w:rsidRPr="00051F12" w14:paraId="496795E5" w14:textId="77777777" w:rsidTr="00C54988">
        <w:trPr>
          <w:trHeight w:val="2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8FF7C" w14:textId="660BBCB9" w:rsidR="00700083" w:rsidRPr="00051F12" w:rsidRDefault="00700083" w:rsidP="00700083">
            <w:pPr>
              <w:spacing w:after="40"/>
              <w:rPr>
                <w:rFonts w:ascii="Aptos" w:hAnsi="Aptos"/>
                <w:b/>
                <w:bCs/>
                <w:lang w:val="de-DE"/>
              </w:rPr>
            </w:pPr>
            <w:r>
              <w:rPr>
                <w:rFonts w:ascii="Aptos" w:hAnsi="Aptos"/>
                <w:b/>
                <w:bCs/>
                <w:color w:val="000000"/>
              </w:rPr>
              <w:t>Ora</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DF843" w14:textId="0F2FEF0B" w:rsidR="00700083" w:rsidRPr="00051F12" w:rsidRDefault="00700083" w:rsidP="00700083">
            <w:pPr>
              <w:spacing w:after="40"/>
              <w:rPr>
                <w:rFonts w:ascii="Aptos" w:hAnsi="Aptos"/>
                <w:lang w:val="de-DE"/>
              </w:rPr>
            </w:pPr>
            <w:r>
              <w:rPr>
                <w:rFonts w:ascii="Aptos" w:hAnsi="Aptos"/>
                <w:b/>
                <w:bCs/>
                <w:color w:val="000000"/>
              </w:rPr>
              <w:t>Titolo e descrizione</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9EF5E" w14:textId="2FE6438C" w:rsidR="00700083" w:rsidRPr="00051F12" w:rsidRDefault="00700083" w:rsidP="00700083">
            <w:pPr>
              <w:spacing w:after="40"/>
              <w:rPr>
                <w:rFonts w:ascii="Aptos" w:hAnsi="Aptos"/>
                <w:lang w:val="de-DE"/>
              </w:rPr>
            </w:pPr>
            <w:r>
              <w:rPr>
                <w:rFonts w:ascii="Aptos" w:hAnsi="Aptos"/>
                <w:b/>
                <w:bCs/>
                <w:color w:val="000000"/>
              </w:rPr>
              <w:t>Materiale</w:t>
            </w:r>
          </w:p>
        </w:tc>
        <w:tc>
          <w:tcPr>
            <w:tcW w:w="7287" w:type="dxa"/>
            <w:tcBorders>
              <w:top w:val="single" w:sz="4" w:space="0" w:color="000000"/>
              <w:left w:val="single" w:sz="4" w:space="0" w:color="000000"/>
              <w:bottom w:val="single" w:sz="4" w:space="0" w:color="000000"/>
              <w:right w:val="single" w:sz="4" w:space="0" w:color="000000"/>
            </w:tcBorders>
          </w:tcPr>
          <w:p w14:paraId="6442C7B0" w14:textId="117962BE" w:rsidR="00700083" w:rsidRPr="00051F12" w:rsidRDefault="00700083" w:rsidP="00700083">
            <w:pPr>
              <w:spacing w:after="40"/>
              <w:rPr>
                <w:rFonts w:ascii="Aptos" w:hAnsi="Aptos"/>
                <w:b/>
                <w:bCs/>
                <w:lang w:val="de-DE"/>
              </w:rPr>
            </w:pPr>
            <w:r>
              <w:rPr>
                <w:rFonts w:ascii="Aptos" w:hAnsi="Aptos"/>
                <w:b/>
                <w:bCs/>
                <w:color w:val="000000"/>
              </w:rPr>
              <w:t>Istruzioni e obiettivi per il formatore</w:t>
            </w:r>
          </w:p>
        </w:tc>
      </w:tr>
      <w:tr w:rsidR="00700083" w:rsidRPr="00051F12" w14:paraId="0BA74F3A" w14:textId="77777777" w:rsidTr="00C54988">
        <w:trPr>
          <w:trHeight w:val="39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E5686" w14:textId="147006EB" w:rsidR="00700083" w:rsidRPr="00051F12" w:rsidRDefault="00700083" w:rsidP="00700083">
            <w:pPr>
              <w:spacing w:after="40"/>
              <w:rPr>
                <w:rFonts w:ascii="Aptos" w:hAnsi="Aptos"/>
                <w:lang w:val="de-DE"/>
              </w:rPr>
            </w:pPr>
            <w:r>
              <w:rPr>
                <w:rFonts w:ascii="Aptos" w:hAnsi="Aptos"/>
                <w:color w:val="000000"/>
              </w:rPr>
              <w:t>2 ore</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F1C02" w14:textId="77777777" w:rsidR="00700083" w:rsidRDefault="00700083" w:rsidP="00700083">
            <w:pPr>
              <w:pStyle w:val="StandardWeb"/>
              <w:spacing w:before="0" w:beforeAutospacing="0" w:after="40" w:afterAutospacing="0"/>
            </w:pPr>
            <w:r>
              <w:rPr>
                <w:rFonts w:ascii="Aptos" w:hAnsi="Aptos"/>
                <w:b/>
                <w:bCs/>
                <w:color w:val="000000"/>
                <w:sz w:val="22"/>
                <w:szCs w:val="22"/>
              </w:rPr>
              <w:t>Introduzione agli appalti sostenibili</w:t>
            </w:r>
          </w:p>
          <w:p w14:paraId="79F26A9D" w14:textId="77777777" w:rsidR="00700083" w:rsidRDefault="00700083" w:rsidP="00700083">
            <w:pPr>
              <w:pStyle w:val="StandardWeb"/>
              <w:numPr>
                <w:ilvl w:val="0"/>
                <w:numId w:val="2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Definizioni (ONU, UE, ISO 20400)</w:t>
            </w:r>
          </w:p>
          <w:p w14:paraId="63F10CD5" w14:textId="77777777" w:rsidR="00700083" w:rsidRDefault="00700083" w:rsidP="00700083">
            <w:pPr>
              <w:pStyle w:val="StandardWeb"/>
              <w:numPr>
                <w:ilvl w:val="0"/>
                <w:numId w:val="2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Dimensioni ambientali, sociali ed economiche</w:t>
            </w:r>
          </w:p>
          <w:p w14:paraId="5885734C" w14:textId="318634B3" w:rsidR="00700083" w:rsidRPr="00051F12" w:rsidRDefault="00700083" w:rsidP="00700083">
            <w:pPr>
              <w:numPr>
                <w:ilvl w:val="0"/>
                <w:numId w:val="10"/>
              </w:numPr>
              <w:spacing w:after="40"/>
              <w:rPr>
                <w:rFonts w:ascii="Aptos" w:hAnsi="Aptos"/>
                <w:lang w:val="de-DE"/>
              </w:rPr>
            </w:pPr>
            <w:r>
              <w:rPr>
                <w:rFonts w:ascii="Aptos" w:hAnsi="Aptos"/>
                <w:color w:val="000000"/>
              </w:rPr>
              <w:t>Allineamento con gli SDG e gli obiettivi locali in materia di clima e resilienza</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6856B" w14:textId="77777777" w:rsidR="00700083" w:rsidRDefault="00700083" w:rsidP="00700083">
            <w:pPr>
              <w:pStyle w:val="StandardWeb"/>
              <w:spacing w:before="0" w:beforeAutospacing="0" w:after="40" w:afterAutospacing="0"/>
            </w:pPr>
            <w:r>
              <w:rPr>
                <w:rFonts w:ascii="Aptos" w:hAnsi="Aptos"/>
                <w:color w:val="000000"/>
                <w:sz w:val="22"/>
                <w:szCs w:val="22"/>
              </w:rPr>
              <w:t>1_1_Presentazione – Introduzione agli appalti sostenibili</w:t>
            </w:r>
          </w:p>
          <w:p w14:paraId="5F2A0723" w14:textId="72691669" w:rsidR="00700083" w:rsidRPr="00051F12" w:rsidRDefault="00700083" w:rsidP="00700083">
            <w:pPr>
              <w:spacing w:after="40"/>
              <w:rPr>
                <w:rFonts w:ascii="Aptos" w:hAnsi="Aptos"/>
                <w:lang w:val="de-DE"/>
              </w:rPr>
            </w:pPr>
            <w:r>
              <w:rPr>
                <w:rFonts w:ascii="Aptos" w:hAnsi="Aptos"/>
                <w:color w:val="000000"/>
              </w:rPr>
              <w:t>1_2_Quiz – Introduzione agli appalti sostenibili</w:t>
            </w:r>
          </w:p>
        </w:tc>
        <w:tc>
          <w:tcPr>
            <w:tcW w:w="7287" w:type="dxa"/>
            <w:tcBorders>
              <w:top w:val="single" w:sz="4" w:space="0" w:color="000000"/>
              <w:left w:val="single" w:sz="4" w:space="0" w:color="000000"/>
              <w:bottom w:val="single" w:sz="4" w:space="0" w:color="000000"/>
              <w:right w:val="single" w:sz="4" w:space="0" w:color="000000"/>
            </w:tcBorders>
          </w:tcPr>
          <w:p w14:paraId="0AD9C99A" w14:textId="77777777" w:rsidR="00700083" w:rsidRDefault="00700083" w:rsidP="00700083">
            <w:pPr>
              <w:pStyle w:val="StandardWeb"/>
              <w:spacing w:before="0" w:beforeAutospacing="0" w:after="40" w:afterAutospacing="0"/>
            </w:pPr>
            <w:r>
              <w:rPr>
                <w:rFonts w:ascii="Aptos" w:hAnsi="Aptos"/>
                <w:i/>
                <w:iCs/>
                <w:color w:val="000000"/>
                <w:sz w:val="22"/>
                <w:szCs w:val="22"/>
              </w:rPr>
              <w:t>Potresti voler iniziare con il quiz. Se stai tenendo la tua formazione online, puoi utilizzare la funzione sondaggio in Zoom o Mentimeter per svolgere il quiz, oppure chiedere ai partecipanti di alzare la mano. </w:t>
            </w:r>
          </w:p>
          <w:p w14:paraId="6017CEBE" w14:textId="77777777" w:rsidR="00700083" w:rsidRDefault="00700083" w:rsidP="00700083"/>
          <w:p w14:paraId="0C6338E7" w14:textId="77777777" w:rsidR="00700083" w:rsidRDefault="00700083" w:rsidP="00700083">
            <w:pPr>
              <w:pStyle w:val="StandardWeb"/>
              <w:spacing w:before="0" w:beforeAutospacing="0" w:after="40" w:afterAutospacing="0"/>
            </w:pPr>
            <w:r>
              <w:rPr>
                <w:rFonts w:ascii="Aptos" w:hAnsi="Aptos"/>
                <w:i/>
                <w:iCs/>
                <w:color w:val="000000"/>
                <w:sz w:val="22"/>
                <w:szCs w:val="22"/>
              </w:rPr>
              <w:t>Segue un'introduzione allo sviluppo sostenibile in generale, alle sue dimensioni, in particolare quelle istituzionali, e infine al significato di appalti sostenibili. Potete anche utilizzare delle cartoline con diverse affermazioni sulla sostenibilità e chiedere ai partecipanti quale sia la loro comprensione degli appalti sostenibili prima di iniziare la presentazione. </w:t>
            </w:r>
          </w:p>
          <w:p w14:paraId="558A9C48"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r>
              <w:rPr>
                <w:rFonts w:ascii="Aptos" w:hAnsi="Aptos"/>
                <w:color w:val="000000"/>
                <w:sz w:val="22"/>
                <w:szCs w:val="22"/>
              </w:rPr>
              <w:t>:</w:t>
            </w:r>
          </w:p>
          <w:p w14:paraId="419A4FFF" w14:textId="77777777" w:rsidR="00700083" w:rsidRDefault="00700083" w:rsidP="00700083">
            <w:pPr>
              <w:pStyle w:val="StandardWeb"/>
              <w:numPr>
                <w:ilvl w:val="0"/>
                <w:numId w:val="30"/>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Stabilire una comprensione condivisa degli appalti sostenibili chiarendo le definizioni e i quadri di riferimento chiave (ONU, UE, ISO 20400).</w:t>
            </w:r>
          </w:p>
          <w:p w14:paraId="57FBBB4F" w14:textId="77777777" w:rsidR="00700083" w:rsidRDefault="00700083" w:rsidP="00700083">
            <w:pPr>
              <w:pStyle w:val="StandardWeb"/>
              <w:numPr>
                <w:ilvl w:val="0"/>
                <w:numId w:val="30"/>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Spiegare le tre dimensioni fondamentali — ambientale, sociale ed economica — e come interagiscono nelle decisioni di acquisto pubblico.</w:t>
            </w:r>
          </w:p>
          <w:p w14:paraId="2A12315A" w14:textId="6F4D9F16" w:rsidR="00700083" w:rsidRPr="00051F12" w:rsidRDefault="00700083" w:rsidP="00700083">
            <w:pPr>
              <w:pStyle w:val="Listenabsatz"/>
              <w:numPr>
                <w:ilvl w:val="0"/>
                <w:numId w:val="18"/>
              </w:numPr>
              <w:spacing w:after="40"/>
              <w:rPr>
                <w:rFonts w:ascii="Aptos" w:hAnsi="Aptos"/>
                <w:lang w:val="de-DE"/>
              </w:rPr>
            </w:pPr>
            <w:r>
              <w:rPr>
                <w:rFonts w:ascii="Aptos" w:hAnsi="Aptos"/>
                <w:color w:val="000000"/>
              </w:rPr>
              <w:t>Dimostrare in che modo gli appalti sostenibili contribuiscono agli SDG (Obiettivi di Sviluppo Sostenibile) nonché agli obiettivi locali in materia di clima e resilienza, collegando i quadri globali all'azione comunale.</w:t>
            </w:r>
          </w:p>
        </w:tc>
      </w:tr>
      <w:tr w:rsidR="00700083" w:rsidRPr="00051F12" w14:paraId="06C9D060" w14:textId="77777777" w:rsidTr="00C54988">
        <w:trPr>
          <w:trHeight w:val="11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719A5" w14:textId="10659C6C" w:rsidR="00700083" w:rsidRPr="00051F12" w:rsidRDefault="00700083" w:rsidP="00700083">
            <w:pPr>
              <w:spacing w:after="40"/>
              <w:rPr>
                <w:rFonts w:ascii="Aptos" w:hAnsi="Aptos"/>
                <w:highlight w:val="yellow"/>
                <w:lang w:val="de-DE"/>
              </w:rPr>
            </w:pPr>
            <w:r>
              <w:rPr>
                <w:rFonts w:ascii="Aptos" w:hAnsi="Aptos"/>
                <w:color w:val="000000"/>
              </w:rPr>
              <w:lastRenderedPageBreak/>
              <w:t>1 ora</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F3BC3" w14:textId="77777777" w:rsidR="00700083" w:rsidRDefault="00700083" w:rsidP="00700083">
            <w:pPr>
              <w:pStyle w:val="StandardWeb"/>
              <w:spacing w:before="0" w:beforeAutospacing="0" w:after="40" w:afterAutospacing="0"/>
            </w:pPr>
            <w:r>
              <w:rPr>
                <w:rFonts w:ascii="Aptos" w:hAnsi="Aptos"/>
                <w:b/>
                <w:bCs/>
                <w:color w:val="000000"/>
                <w:sz w:val="22"/>
                <w:szCs w:val="22"/>
              </w:rPr>
              <w:t>Perché è importante per i piccoli comuni</w:t>
            </w:r>
          </w:p>
          <w:p w14:paraId="68D44B94" w14:textId="77777777" w:rsidR="00700083" w:rsidRDefault="00700083" w:rsidP="00700083">
            <w:pPr>
              <w:pStyle w:val="StandardWeb"/>
              <w:numPr>
                <w:ilvl w:val="0"/>
                <w:numId w:val="31"/>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La spesa pubblica come leva per il cambiamento</w:t>
            </w:r>
          </w:p>
          <w:p w14:paraId="33645F42" w14:textId="77777777" w:rsidR="00700083" w:rsidRDefault="00700083" w:rsidP="00700083">
            <w:pPr>
              <w:pStyle w:val="StandardWeb"/>
              <w:numPr>
                <w:ilvl w:val="0"/>
                <w:numId w:val="31"/>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Sviluppo economico locale ed economia circolare</w:t>
            </w:r>
          </w:p>
          <w:p w14:paraId="2CA72F6F" w14:textId="77777777" w:rsidR="00700083" w:rsidRDefault="00700083" w:rsidP="00700083">
            <w:pPr>
              <w:pStyle w:val="StandardWeb"/>
              <w:numPr>
                <w:ilvl w:val="0"/>
                <w:numId w:val="31"/>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Riduzione dei rischi e conformità</w:t>
            </w:r>
          </w:p>
          <w:p w14:paraId="12DEE2FF" w14:textId="24D3819A" w:rsidR="00700083" w:rsidRPr="00051F12" w:rsidRDefault="00700083" w:rsidP="00700083">
            <w:pPr>
              <w:numPr>
                <w:ilvl w:val="0"/>
                <w:numId w:val="7"/>
              </w:numPr>
              <w:spacing w:after="40"/>
              <w:rPr>
                <w:rFonts w:ascii="Aptos" w:hAnsi="Aptos"/>
                <w:color w:val="000000"/>
                <w:lang w:val="de-DE"/>
              </w:rPr>
            </w:pPr>
            <w:r>
              <w:rPr>
                <w:rFonts w:ascii="Aptos" w:hAnsi="Aptos"/>
                <w:color w:val="000000"/>
              </w:rPr>
              <w:t>Esercizio pratico: Argomentazioni a sostegno degli appalti sostenibili e domande frequenti</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F18A5" w14:textId="77777777" w:rsidR="00700083" w:rsidRDefault="00700083" w:rsidP="00700083">
            <w:pPr>
              <w:pStyle w:val="StandardWeb"/>
              <w:spacing w:before="0" w:beforeAutospacing="0" w:after="40" w:afterAutospacing="0"/>
            </w:pPr>
            <w:r>
              <w:rPr>
                <w:rFonts w:ascii="Aptos" w:hAnsi="Aptos"/>
                <w:color w:val="000000"/>
                <w:sz w:val="22"/>
                <w:szCs w:val="22"/>
              </w:rPr>
              <w:t>1_3_Presentazione – Perché è importante</w:t>
            </w:r>
          </w:p>
          <w:p w14:paraId="0A5039BE" w14:textId="78D122B7" w:rsidR="00700083" w:rsidRPr="00051F12" w:rsidRDefault="00700083" w:rsidP="00700083">
            <w:pPr>
              <w:spacing w:after="40"/>
              <w:rPr>
                <w:rFonts w:ascii="Aptos" w:hAnsi="Aptos"/>
                <w:lang w:val="de-DE"/>
              </w:rPr>
            </w:pPr>
            <w:r>
              <w:rPr>
                <w:rFonts w:ascii="Aptos" w:hAnsi="Aptos"/>
                <w:color w:val="000000"/>
              </w:rPr>
              <w:t>1_4_Esercizio – Perché è importante</w:t>
            </w:r>
          </w:p>
        </w:tc>
        <w:tc>
          <w:tcPr>
            <w:tcW w:w="7287" w:type="dxa"/>
            <w:tcBorders>
              <w:top w:val="single" w:sz="4" w:space="0" w:color="000000"/>
              <w:left w:val="single" w:sz="4" w:space="0" w:color="000000"/>
              <w:bottom w:val="single" w:sz="4" w:space="0" w:color="000000"/>
              <w:right w:val="single" w:sz="4" w:space="0" w:color="000000"/>
            </w:tcBorders>
          </w:tcPr>
          <w:p w14:paraId="1A9908D3" w14:textId="77777777" w:rsidR="00700083" w:rsidRDefault="00700083" w:rsidP="00700083">
            <w:pPr>
              <w:pStyle w:val="StandardWeb"/>
              <w:spacing w:before="0" w:beforeAutospacing="0" w:after="40" w:afterAutospacing="0"/>
            </w:pPr>
            <w:r>
              <w:rPr>
                <w:rFonts w:ascii="Aptos" w:hAnsi="Aptos"/>
                <w:i/>
                <w:iCs/>
                <w:color w:val="000000"/>
                <w:sz w:val="22"/>
                <w:szCs w:val="22"/>
              </w:rPr>
              <w:t>Dopo aver tenuto la presentazione sugli argomenti a favore degli appalti sostenibili, svolgi l'esercizio.</w:t>
            </w:r>
          </w:p>
          <w:p w14:paraId="7BF44763" w14:textId="77777777" w:rsidR="00700083" w:rsidRDefault="00700083" w:rsidP="00700083">
            <w:pPr>
              <w:pStyle w:val="StandardWeb"/>
              <w:spacing w:before="0" w:beforeAutospacing="0" w:after="40" w:afterAutospacing="0"/>
            </w:pPr>
            <w:r>
              <w:rPr>
                <w:rFonts w:ascii="Aptos" w:hAnsi="Aptos"/>
                <w:i/>
                <w:iCs/>
                <w:color w:val="000000"/>
                <w:sz w:val="22"/>
                <w:szCs w:val="22"/>
              </w:rPr>
              <w:t>Vedi il documento 1_4_Esercizio – Perché è importante. Si tratta di un’attività in coppia in cui un partner esprime critiche nei confronti degli appalti sostenibili. L’altro partner deve quindi rispondere, utilizzando le conoscenze acquisite fino a quel momento. L’attività può essere svolta da due persone davanti all’intero gruppo, oppure ogni squadra riceve un barattolo contenente diversi scenari da cui attingere. I partecipanti mettono in scena questi scenari in coppia e poi li raccolgono/riflettono su di essi nella sessione plenaria finale.</w:t>
            </w:r>
          </w:p>
          <w:p w14:paraId="65639EC4"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p>
          <w:p w14:paraId="39CEC482" w14:textId="77777777" w:rsidR="00700083" w:rsidRDefault="00700083" w:rsidP="00700083">
            <w:pPr>
              <w:pStyle w:val="StandardWeb"/>
              <w:numPr>
                <w:ilvl w:val="0"/>
                <w:numId w:val="32"/>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Evidenziare come la spesa pubblica possa essere utilizzata strategicamente come potente leva per promuovere la sostenibilità e influenzare i mercati locali.</w:t>
            </w:r>
          </w:p>
          <w:p w14:paraId="4C557A01" w14:textId="77777777" w:rsidR="00700083" w:rsidRDefault="00700083" w:rsidP="00700083">
            <w:pPr>
              <w:pStyle w:val="StandardWeb"/>
              <w:numPr>
                <w:ilvl w:val="0"/>
                <w:numId w:val="32"/>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Dimostrare il potenziale degli appalti sostenibili per rafforzare lo sviluppo economico locale, sostenere gli approcci di economia circolare e costruire la resilienza della comunità.</w:t>
            </w:r>
          </w:p>
          <w:p w14:paraId="025345DB" w14:textId="06365CD9" w:rsidR="00700083" w:rsidRPr="00051F12" w:rsidRDefault="00700083" w:rsidP="00700083">
            <w:pPr>
              <w:pStyle w:val="Listenabsatz"/>
              <w:numPr>
                <w:ilvl w:val="0"/>
                <w:numId w:val="19"/>
              </w:numPr>
              <w:spacing w:after="40"/>
              <w:ind w:left="360"/>
              <w:rPr>
                <w:rFonts w:ascii="Aptos" w:hAnsi="Aptos"/>
                <w:lang w:val="de-DE"/>
              </w:rPr>
            </w:pPr>
            <w:r>
              <w:rPr>
                <w:rFonts w:ascii="Aptos" w:hAnsi="Aptos"/>
                <w:color w:val="000000"/>
              </w:rPr>
              <w:t>Fornire ai partecipanti strumenti pratici di argomentazione per rispondere con sicurezza alle domande più frequenti e promuovere gli appalti sostenibili nei loro comuni.</w:t>
            </w:r>
          </w:p>
        </w:tc>
      </w:tr>
      <w:tr w:rsidR="00700083" w:rsidRPr="00051F12" w14:paraId="44C34127"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BAD2C" w14:textId="6BDA3A1B" w:rsidR="00700083" w:rsidRPr="00051F12" w:rsidRDefault="00700083" w:rsidP="00700083">
            <w:pPr>
              <w:spacing w:after="40"/>
              <w:rPr>
                <w:rFonts w:ascii="Aptos" w:hAnsi="Aptos"/>
                <w:highlight w:val="yellow"/>
                <w:lang w:val="de-DE"/>
              </w:rPr>
            </w:pPr>
            <w:r>
              <w:rPr>
                <w:rFonts w:ascii="Aptos" w:hAnsi="Aptos"/>
                <w:color w:val="000000"/>
              </w:rPr>
              <w:t>2 ore</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144B5" w14:textId="77777777" w:rsidR="00700083" w:rsidRDefault="00700083" w:rsidP="00700083">
            <w:pPr>
              <w:pStyle w:val="StandardWeb"/>
              <w:spacing w:before="0" w:beforeAutospacing="0" w:after="40" w:afterAutospacing="0"/>
            </w:pPr>
            <w:r>
              <w:rPr>
                <w:rFonts w:ascii="Aptos" w:hAnsi="Aptos"/>
                <w:b/>
                <w:bCs/>
                <w:color w:val="000000"/>
                <w:sz w:val="22"/>
                <w:szCs w:val="22"/>
              </w:rPr>
              <w:t>Quadri giuridici e politici</w:t>
            </w:r>
          </w:p>
          <w:p w14:paraId="70E579F7" w14:textId="77777777" w:rsidR="00700083" w:rsidRDefault="00700083" w:rsidP="00700083">
            <w:pPr>
              <w:pStyle w:val="StandardWeb"/>
              <w:numPr>
                <w:ilvl w:val="0"/>
                <w:numId w:val="33"/>
              </w:numPr>
              <w:spacing w:before="0" w:beforeAutospacing="0" w:after="40" w:afterAutospacing="0"/>
              <w:ind w:left="717"/>
              <w:textAlignment w:val="baseline"/>
              <w:rPr>
                <w:rFonts w:ascii="Aptos" w:hAnsi="Aptos"/>
                <w:color w:val="000000"/>
                <w:sz w:val="22"/>
                <w:szCs w:val="22"/>
              </w:rPr>
            </w:pPr>
            <w:r>
              <w:rPr>
                <w:rFonts w:ascii="Aptos" w:hAnsi="Aptos"/>
                <w:color w:val="000000"/>
                <w:sz w:val="22"/>
                <w:szCs w:val="22"/>
              </w:rPr>
              <w:t>Legislazione pertinente in materia di appalti</w:t>
            </w:r>
          </w:p>
          <w:p w14:paraId="2E84EAFF" w14:textId="77777777" w:rsidR="00700083" w:rsidRDefault="00700083" w:rsidP="00700083">
            <w:pPr>
              <w:pStyle w:val="StandardWeb"/>
              <w:numPr>
                <w:ilvl w:val="0"/>
                <w:numId w:val="33"/>
              </w:numPr>
              <w:spacing w:before="0" w:beforeAutospacing="0" w:after="40" w:afterAutospacing="0"/>
              <w:ind w:left="717"/>
              <w:textAlignment w:val="baseline"/>
              <w:rPr>
                <w:rFonts w:ascii="Aptos" w:hAnsi="Aptos"/>
                <w:color w:val="000000"/>
                <w:sz w:val="22"/>
                <w:szCs w:val="22"/>
              </w:rPr>
            </w:pPr>
            <w:r>
              <w:rPr>
                <w:rFonts w:ascii="Aptos" w:hAnsi="Aptos"/>
                <w:color w:val="000000"/>
                <w:sz w:val="22"/>
                <w:szCs w:val="22"/>
              </w:rPr>
              <w:t>Integrazione dei criteri nei documenti di gara</w:t>
            </w:r>
          </w:p>
          <w:p w14:paraId="4871E2D4" w14:textId="3C3812A0" w:rsidR="00700083" w:rsidRPr="00051F12" w:rsidRDefault="00700083" w:rsidP="00700083">
            <w:pPr>
              <w:numPr>
                <w:ilvl w:val="0"/>
                <w:numId w:val="8"/>
              </w:numPr>
              <w:spacing w:after="40"/>
              <w:ind w:left="714" w:hanging="357"/>
              <w:rPr>
                <w:rFonts w:ascii="Aptos" w:hAnsi="Aptos"/>
                <w:lang w:val="de-DE"/>
              </w:rPr>
            </w:pPr>
            <w:r>
              <w:rPr>
                <w:rFonts w:ascii="Aptos" w:hAnsi="Aptos"/>
                <w:color w:val="000000"/>
              </w:rPr>
              <w:t xml:space="preserve">Esercizio pratico: come e dove è possibile considerare gli aspetti di </w:t>
            </w:r>
            <w:r>
              <w:rPr>
                <w:rFonts w:ascii="Aptos" w:hAnsi="Aptos"/>
                <w:color w:val="000000"/>
              </w:rPr>
              <w:lastRenderedPageBreak/>
              <w:t>sostenibilità con certezza giuridica? </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1F473" w14:textId="514B92A6" w:rsidR="00700083" w:rsidRDefault="00700083" w:rsidP="00700083">
            <w:pPr>
              <w:pStyle w:val="StandardWeb"/>
              <w:spacing w:before="0" w:beforeAutospacing="0" w:after="40" w:afterAutospacing="0"/>
            </w:pPr>
            <w:r>
              <w:rPr>
                <w:rFonts w:ascii="Aptos" w:hAnsi="Aptos"/>
                <w:color w:val="000000"/>
                <w:sz w:val="22"/>
                <w:szCs w:val="22"/>
              </w:rPr>
              <w:lastRenderedPageBreak/>
              <w:t xml:space="preserve">1_5_Presentazione – </w:t>
            </w:r>
            <w:r w:rsidR="00845044" w:rsidRPr="00845044">
              <w:rPr>
                <w:rFonts w:ascii="Aptos" w:hAnsi="Aptos"/>
                <w:color w:val="000000"/>
                <w:sz w:val="22"/>
                <w:szCs w:val="22"/>
              </w:rPr>
              <w:t>Contesto giuridico</w:t>
            </w:r>
            <w:r w:rsidR="00845044">
              <w:rPr>
                <w:rFonts w:ascii="Aptos" w:hAnsi="Aptos"/>
                <w:color w:val="000000"/>
                <w:sz w:val="22"/>
                <w:szCs w:val="22"/>
              </w:rPr>
              <w:t xml:space="preserve"> </w:t>
            </w:r>
            <w:r>
              <w:rPr>
                <w:rFonts w:ascii="Aptos" w:hAnsi="Aptos"/>
                <w:color w:val="000000"/>
                <w:sz w:val="22"/>
                <w:szCs w:val="22"/>
              </w:rPr>
              <w:t>e politici</w:t>
            </w:r>
          </w:p>
          <w:p w14:paraId="2CC81EFB" w14:textId="7C8AF14A" w:rsidR="00700083" w:rsidRPr="00051F12" w:rsidRDefault="00700083" w:rsidP="00700083">
            <w:pPr>
              <w:spacing w:after="40"/>
              <w:rPr>
                <w:rFonts w:ascii="Aptos" w:hAnsi="Aptos"/>
                <w:color w:val="000000" w:themeColor="text1"/>
                <w:lang w:val="de-DE"/>
              </w:rPr>
            </w:pPr>
            <w:r w:rsidRPr="00845044">
              <w:rPr>
                <w:rFonts w:ascii="Aptos" w:hAnsi="Aptos"/>
              </w:rPr>
              <w:t xml:space="preserve">1_6_Esercizio – </w:t>
            </w:r>
            <w:r w:rsidR="00845044" w:rsidRPr="00845044">
              <w:rPr>
                <w:rFonts w:ascii="Aptos" w:hAnsi="Aptos"/>
              </w:rPr>
              <w:t>Contesto giuridico</w:t>
            </w:r>
            <w:r w:rsidR="00845044">
              <w:rPr>
                <w:rFonts w:ascii="Aptos" w:hAnsi="Aptos"/>
              </w:rPr>
              <w:t xml:space="preserve"> </w:t>
            </w:r>
            <w:r w:rsidRPr="00845044">
              <w:rPr>
                <w:rFonts w:ascii="Aptos" w:hAnsi="Aptos"/>
              </w:rPr>
              <w:t>e politici</w:t>
            </w:r>
          </w:p>
        </w:tc>
        <w:tc>
          <w:tcPr>
            <w:tcW w:w="7287" w:type="dxa"/>
            <w:tcBorders>
              <w:top w:val="single" w:sz="4" w:space="0" w:color="000000"/>
              <w:left w:val="single" w:sz="4" w:space="0" w:color="000000"/>
              <w:bottom w:val="single" w:sz="4" w:space="0" w:color="000000"/>
              <w:right w:val="single" w:sz="4" w:space="0" w:color="000000"/>
            </w:tcBorders>
          </w:tcPr>
          <w:p w14:paraId="648F2DC3" w14:textId="77777777" w:rsidR="00700083" w:rsidRDefault="00700083" w:rsidP="00700083">
            <w:pPr>
              <w:pStyle w:val="StandardWeb"/>
              <w:spacing w:before="0" w:beforeAutospacing="0" w:after="40" w:afterAutospacing="0"/>
            </w:pPr>
            <w:r>
              <w:rPr>
                <w:rFonts w:ascii="Aptos" w:hAnsi="Aptos"/>
                <w:i/>
                <w:iCs/>
                <w:color w:val="000000"/>
                <w:sz w:val="22"/>
                <w:szCs w:val="22"/>
              </w:rPr>
              <w:t>Dopo la presentazione sul quadro giuridico e politico, svolgere l'esercizio per applicare le conoscenze teoriche. Vedi documento 1_6 Esercizio – Quadro giuridico e politico. </w:t>
            </w:r>
          </w:p>
          <w:p w14:paraId="63DB7677"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p>
          <w:p w14:paraId="755CB142" w14:textId="77777777" w:rsidR="00700083" w:rsidRDefault="00700083" w:rsidP="00700083">
            <w:pPr>
              <w:pStyle w:val="StandardWeb"/>
              <w:numPr>
                <w:ilvl w:val="0"/>
                <w:numId w:val="34"/>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I partecipanti conoscono il quadro giuridico e politico per gli appalti sostenibili nei loro paesi</w:t>
            </w:r>
          </w:p>
          <w:p w14:paraId="00091EC0" w14:textId="77777777" w:rsidR="00700083" w:rsidRDefault="00700083" w:rsidP="00700083">
            <w:pPr>
              <w:pStyle w:val="StandardWeb"/>
              <w:numPr>
                <w:ilvl w:val="0"/>
                <w:numId w:val="34"/>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I partecipanti imparano a identificare le modalità legalmente ammissibili per includere criteri di sostenibilità nei documenti di gara </w:t>
            </w:r>
          </w:p>
          <w:p w14:paraId="43EAD9FF" w14:textId="78ED6345" w:rsidR="00700083" w:rsidRPr="00051F12" w:rsidRDefault="00700083" w:rsidP="00700083">
            <w:pPr>
              <w:pStyle w:val="Listenabsatz"/>
              <w:numPr>
                <w:ilvl w:val="0"/>
                <w:numId w:val="20"/>
              </w:numPr>
              <w:spacing w:after="40"/>
              <w:rPr>
                <w:rFonts w:ascii="Aptos" w:hAnsi="Aptos"/>
                <w:i/>
                <w:iCs/>
                <w:lang w:val="de-DE"/>
              </w:rPr>
            </w:pPr>
            <w:r>
              <w:rPr>
                <w:rFonts w:ascii="Aptos" w:hAnsi="Aptos"/>
                <w:color w:val="000000"/>
              </w:rPr>
              <w:t>I partecipanti imparano a distinguere tra pratiche giuridicamente corrette e pratiche rischiose o illegali.</w:t>
            </w:r>
          </w:p>
        </w:tc>
      </w:tr>
      <w:tr w:rsidR="00700083" w:rsidRPr="00051F12" w14:paraId="2A243890"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7559B" w14:textId="00025236" w:rsidR="00700083" w:rsidRPr="00051F12" w:rsidRDefault="00700083" w:rsidP="00700083">
            <w:pPr>
              <w:spacing w:after="40"/>
              <w:rPr>
                <w:rFonts w:ascii="Aptos" w:hAnsi="Aptos"/>
                <w:highlight w:val="yellow"/>
                <w:lang w:val="de-DE"/>
              </w:rPr>
            </w:pPr>
            <w:r>
              <w:rPr>
                <w:rFonts w:ascii="Aptos" w:hAnsi="Aptos"/>
                <w:color w:val="000000"/>
              </w:rPr>
              <w:t>1,5 ore</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C3948" w14:textId="77777777" w:rsidR="00700083" w:rsidRDefault="00700083" w:rsidP="00700083">
            <w:pPr>
              <w:pStyle w:val="StandardWeb"/>
              <w:spacing w:before="0" w:beforeAutospacing="0" w:after="40" w:afterAutospacing="0"/>
            </w:pPr>
            <w:r>
              <w:rPr>
                <w:rFonts w:ascii="Aptos" w:hAnsi="Aptos"/>
                <w:b/>
                <w:bCs/>
                <w:color w:val="000000"/>
                <w:sz w:val="22"/>
                <w:szCs w:val="22"/>
              </w:rPr>
              <w:t>Competenze formative</w:t>
            </w:r>
          </w:p>
          <w:p w14:paraId="433E61D6" w14:textId="77777777" w:rsidR="00700083" w:rsidRDefault="00700083" w:rsidP="00700083">
            <w:pPr>
              <w:pStyle w:val="StandardWeb"/>
              <w:numPr>
                <w:ilvl w:val="0"/>
                <w:numId w:val="35"/>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Principi dell'apprendimento degli adulti, ad es. approccio metodico alla trasmissione delle conoscenze</w:t>
            </w:r>
          </w:p>
          <w:p w14:paraId="4B3C311F" w14:textId="77777777" w:rsidR="00700083" w:rsidRDefault="00700083" w:rsidP="00700083">
            <w:pPr>
              <w:pStyle w:val="StandardWeb"/>
              <w:numPr>
                <w:ilvl w:val="0"/>
                <w:numId w:val="35"/>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Facilitazione vs. lezione frontale</w:t>
            </w:r>
          </w:p>
          <w:p w14:paraId="333FA5CE" w14:textId="5F355F0E" w:rsidR="00700083" w:rsidRPr="00051F12" w:rsidRDefault="00700083" w:rsidP="00700083">
            <w:pPr>
              <w:numPr>
                <w:ilvl w:val="0"/>
                <w:numId w:val="9"/>
              </w:numPr>
              <w:spacing w:after="40"/>
              <w:rPr>
                <w:rFonts w:ascii="Aptos" w:hAnsi="Aptos"/>
                <w:color w:val="000000" w:themeColor="text1"/>
                <w:lang w:val="de-DE"/>
              </w:rPr>
            </w:pPr>
            <w:r>
              <w:rPr>
                <w:rFonts w:ascii="Aptos" w:hAnsi="Aptos"/>
                <w:color w:val="000000"/>
              </w:rPr>
              <w:t>Sfide comuni nella formazione e come affrontarle</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925A0" w14:textId="77777777" w:rsidR="00700083" w:rsidRDefault="00700083" w:rsidP="00700083">
            <w:pPr>
              <w:pStyle w:val="StandardWeb"/>
              <w:spacing w:before="0" w:beforeAutospacing="0" w:after="40" w:afterAutospacing="0"/>
            </w:pPr>
            <w:r>
              <w:rPr>
                <w:rFonts w:ascii="Aptos" w:hAnsi="Aptos"/>
                <w:color w:val="000000"/>
                <w:sz w:val="22"/>
                <w:szCs w:val="22"/>
              </w:rPr>
              <w:t>1_7_Presentazione – Competenze formative – Introduzione</w:t>
            </w:r>
          </w:p>
          <w:p w14:paraId="09854B69" w14:textId="77777777" w:rsidR="00700083" w:rsidRDefault="00700083" w:rsidP="00700083">
            <w:pPr>
              <w:pStyle w:val="StandardWeb"/>
              <w:spacing w:before="0" w:beforeAutospacing="0" w:after="40" w:afterAutospacing="0"/>
            </w:pPr>
            <w:r>
              <w:rPr>
                <w:rFonts w:ascii="Aptos" w:hAnsi="Aptos"/>
                <w:color w:val="000000"/>
                <w:sz w:val="22"/>
                <w:szCs w:val="22"/>
              </w:rPr>
              <w:t>1_8_Presentazione – Competenze formative – Esercizio</w:t>
            </w:r>
          </w:p>
          <w:p w14:paraId="0E6EB7CE" w14:textId="59AABE47" w:rsidR="00700083" w:rsidRPr="00051F12" w:rsidRDefault="00700083" w:rsidP="00700083">
            <w:pPr>
              <w:spacing w:after="40"/>
              <w:rPr>
                <w:rFonts w:ascii="Aptos" w:hAnsi="Aptos"/>
                <w:color w:val="000000" w:themeColor="text1"/>
                <w:lang w:val="de-DE"/>
              </w:rPr>
            </w:pPr>
            <w:r>
              <w:rPr>
                <w:rFonts w:ascii="Aptos" w:hAnsi="Aptos"/>
                <w:color w:val="000000"/>
              </w:rPr>
              <w:t>1_9_Esercizio – Competenze formative – Schede di ruolo</w:t>
            </w:r>
          </w:p>
        </w:tc>
        <w:tc>
          <w:tcPr>
            <w:tcW w:w="7287" w:type="dxa"/>
            <w:tcBorders>
              <w:top w:val="single" w:sz="4" w:space="0" w:color="000000"/>
              <w:left w:val="single" w:sz="4" w:space="0" w:color="000000"/>
              <w:bottom w:val="single" w:sz="4" w:space="0" w:color="000000"/>
              <w:right w:val="single" w:sz="4" w:space="0" w:color="000000"/>
            </w:tcBorders>
          </w:tcPr>
          <w:p w14:paraId="2AE07DDD" w14:textId="77777777" w:rsidR="00700083" w:rsidRDefault="00700083" w:rsidP="00700083">
            <w:pPr>
              <w:pStyle w:val="StandardWeb"/>
              <w:spacing w:before="0" w:beforeAutospacing="0" w:after="40" w:afterAutospacing="0"/>
            </w:pPr>
            <w:r>
              <w:rPr>
                <w:rFonts w:ascii="Aptos" w:hAnsi="Aptos"/>
                <w:i/>
                <w:iCs/>
                <w:color w:val="000000"/>
                <w:sz w:val="22"/>
                <w:szCs w:val="22"/>
              </w:rPr>
              <w:t>Vedi il documento 1_8_Presentazione-Esercizio sulle competenze formative che puoi svolgere dopo la sessione teorica sulle competenze formative. Si tratta di un gioco di ruolo su come affrontare le riserve relative agli appalti sostenibili ed equi e aiuta i partecipanti a gestire le obiezioni e le riserve.</w:t>
            </w:r>
          </w:p>
          <w:p w14:paraId="01495717"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p>
          <w:p w14:paraId="759EABA0" w14:textId="77777777" w:rsidR="00700083" w:rsidRDefault="00700083" w:rsidP="00700083">
            <w:pPr>
              <w:pStyle w:val="StandardWeb"/>
              <w:numPr>
                <w:ilvl w:val="0"/>
                <w:numId w:val="36"/>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I partecipanti comprendono i principi dell'apprendimento degli adulti e sono in grado di applicarli durante una formazione</w:t>
            </w:r>
          </w:p>
          <w:p w14:paraId="632B01A6" w14:textId="77777777" w:rsidR="00700083" w:rsidRDefault="00700083" w:rsidP="00700083">
            <w:pPr>
              <w:pStyle w:val="StandardWeb"/>
              <w:numPr>
                <w:ilvl w:val="0"/>
                <w:numId w:val="36"/>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I partecipanti imparano a gestire le obiezioni e le riserve.</w:t>
            </w:r>
          </w:p>
          <w:p w14:paraId="0FDD627E" w14:textId="03EB3186" w:rsidR="00700083" w:rsidRPr="00051F12" w:rsidRDefault="00700083" w:rsidP="00700083">
            <w:pPr>
              <w:pStyle w:val="Listenabsatz"/>
              <w:numPr>
                <w:ilvl w:val="0"/>
                <w:numId w:val="21"/>
              </w:numPr>
              <w:spacing w:after="40"/>
              <w:rPr>
                <w:rFonts w:ascii="Aptos" w:hAnsi="Aptos"/>
                <w:lang w:val="de-DE"/>
              </w:rPr>
            </w:pPr>
            <w:r>
              <w:rPr>
                <w:rFonts w:ascii="Aptos" w:hAnsi="Aptos"/>
                <w:color w:val="000000"/>
              </w:rPr>
              <w:t>I partecipanti si esercitano a condurre conversazioni in modo apprezzativo e orientato alla soluzione.</w:t>
            </w:r>
          </w:p>
        </w:tc>
      </w:tr>
    </w:tbl>
    <w:p w14:paraId="4A9AA748" w14:textId="77777777" w:rsidR="00D118F5" w:rsidRPr="00051F12" w:rsidRDefault="00D118F5" w:rsidP="00D118F5">
      <w:pPr>
        <w:spacing w:after="40"/>
        <w:rPr>
          <w:rFonts w:ascii="Aptos" w:hAnsi="Aptos"/>
          <w:lang w:val="de-DE"/>
        </w:rPr>
      </w:pPr>
    </w:p>
    <w:p w14:paraId="4E6B818B" w14:textId="638BB4E1" w:rsidR="00D118F5" w:rsidRPr="00700083" w:rsidRDefault="00700083" w:rsidP="00177C85">
      <w:pPr>
        <w:pStyle w:val="berschrift3"/>
        <w:rPr>
          <w:rFonts w:ascii="Aptos" w:hAnsi="Aptos"/>
          <w:sz w:val="32"/>
          <w:szCs w:val="32"/>
          <w:lang w:val="de-DE"/>
        </w:rPr>
      </w:pPr>
      <w:r w:rsidRPr="00700083">
        <w:rPr>
          <w:rFonts w:ascii="Aptos" w:hAnsi="Aptos" w:cs="Calibri"/>
          <w:color w:val="0F4761"/>
          <w:sz w:val="32"/>
          <w:szCs w:val="32"/>
        </w:rPr>
        <w:t>Giorno 2 – Analisi</w:t>
      </w:r>
    </w:p>
    <w:tbl>
      <w:tblPr>
        <w:tblW w:w="13887" w:type="dxa"/>
        <w:tblLayout w:type="fixed"/>
        <w:tblLook w:val="0400" w:firstRow="0" w:lastRow="0" w:firstColumn="0" w:lastColumn="0" w:noHBand="0" w:noVBand="1"/>
      </w:tblPr>
      <w:tblGrid>
        <w:gridCol w:w="780"/>
        <w:gridCol w:w="3326"/>
        <w:gridCol w:w="2552"/>
        <w:gridCol w:w="7229"/>
      </w:tblGrid>
      <w:tr w:rsidR="00700083" w:rsidRPr="00051F12" w14:paraId="1B8829DA" w14:textId="77777777" w:rsidTr="000B1AC5">
        <w:trPr>
          <w:trHeight w:val="295"/>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57ED3" w14:textId="05A6C2F5" w:rsidR="00700083" w:rsidRPr="00051F12" w:rsidRDefault="00700083" w:rsidP="00700083">
            <w:pPr>
              <w:spacing w:after="40"/>
              <w:rPr>
                <w:rFonts w:ascii="Aptos" w:hAnsi="Aptos"/>
                <w:b/>
                <w:bCs/>
                <w:lang w:val="de-DE"/>
              </w:rPr>
            </w:pPr>
            <w:r>
              <w:rPr>
                <w:rFonts w:ascii="Aptos" w:hAnsi="Aptos"/>
                <w:b/>
                <w:bCs/>
                <w:color w:val="000000"/>
              </w:rPr>
              <w:t>Ora</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F2983" w14:textId="1D758EAB" w:rsidR="00700083" w:rsidRPr="00051F12" w:rsidRDefault="00700083" w:rsidP="00700083">
            <w:pPr>
              <w:spacing w:after="40"/>
              <w:rPr>
                <w:rFonts w:ascii="Aptos" w:hAnsi="Aptos"/>
                <w:lang w:val="de-DE"/>
              </w:rPr>
            </w:pPr>
            <w:r>
              <w:rPr>
                <w:rFonts w:ascii="Aptos" w:hAnsi="Aptos"/>
                <w:b/>
                <w:bCs/>
                <w:color w:val="000000"/>
              </w:rPr>
              <w:t>Titolo e descrizione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85DA9" w14:textId="070592EE" w:rsidR="00700083" w:rsidRPr="00051F12" w:rsidRDefault="00700083" w:rsidP="00700083">
            <w:pPr>
              <w:spacing w:after="40"/>
              <w:rPr>
                <w:rFonts w:ascii="Aptos" w:hAnsi="Aptos"/>
                <w:lang w:val="de-DE"/>
              </w:rPr>
            </w:pPr>
            <w:r>
              <w:rPr>
                <w:rFonts w:ascii="Aptos" w:hAnsi="Aptos"/>
                <w:b/>
                <w:bCs/>
                <w:color w:val="000000"/>
              </w:rPr>
              <w:t>Materiale</w:t>
            </w:r>
          </w:p>
        </w:tc>
        <w:tc>
          <w:tcPr>
            <w:tcW w:w="7229" w:type="dxa"/>
            <w:tcBorders>
              <w:top w:val="single" w:sz="4" w:space="0" w:color="000000"/>
              <w:left w:val="single" w:sz="4" w:space="0" w:color="000000"/>
              <w:bottom w:val="single" w:sz="4" w:space="0" w:color="000000"/>
              <w:right w:val="single" w:sz="4" w:space="0" w:color="000000"/>
            </w:tcBorders>
          </w:tcPr>
          <w:p w14:paraId="410E2B49" w14:textId="35644EC3" w:rsidR="00700083" w:rsidRPr="00051F12" w:rsidRDefault="00700083" w:rsidP="00700083">
            <w:pPr>
              <w:spacing w:after="40"/>
              <w:rPr>
                <w:rFonts w:ascii="Aptos" w:hAnsi="Aptos"/>
                <w:b/>
                <w:bCs/>
                <w:lang w:val="de-DE"/>
              </w:rPr>
            </w:pPr>
            <w:r>
              <w:rPr>
                <w:rFonts w:ascii="Aptos" w:hAnsi="Aptos"/>
                <w:b/>
                <w:bCs/>
                <w:color w:val="000000"/>
              </w:rPr>
              <w:t>Istruzioni e obiettivi per il formatore</w:t>
            </w:r>
          </w:p>
        </w:tc>
      </w:tr>
      <w:tr w:rsidR="00700083" w:rsidRPr="00051F12" w14:paraId="630907F5"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A574D" w14:textId="05573BE5" w:rsidR="00700083" w:rsidRPr="00051F12" w:rsidRDefault="00700083" w:rsidP="00700083">
            <w:pPr>
              <w:spacing w:after="40"/>
              <w:rPr>
                <w:rFonts w:ascii="Aptos" w:hAnsi="Aptos"/>
                <w:lang w:val="de-DE"/>
              </w:rPr>
            </w:pPr>
            <w:r>
              <w:rPr>
                <w:rFonts w:ascii="Aptos" w:hAnsi="Aptos"/>
                <w:color w:val="000000"/>
              </w:rPr>
              <w:t>2 ore</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AE3CA" w14:textId="77777777" w:rsidR="00700083" w:rsidRDefault="00700083" w:rsidP="00700083">
            <w:pPr>
              <w:pStyle w:val="StandardWeb"/>
              <w:spacing w:before="0" w:beforeAutospacing="0" w:after="40" w:afterAutospacing="0"/>
            </w:pPr>
            <w:r>
              <w:rPr>
                <w:rFonts w:ascii="Aptos" w:hAnsi="Aptos"/>
                <w:b/>
                <w:bCs/>
                <w:color w:val="000000"/>
                <w:sz w:val="22"/>
                <w:szCs w:val="22"/>
              </w:rPr>
              <w:t>Pianificazione e attuazione degli appalti sostenibili</w:t>
            </w:r>
          </w:p>
          <w:p w14:paraId="7B317480" w14:textId="77777777" w:rsidR="00700083" w:rsidRDefault="00700083" w:rsidP="00700083">
            <w:pPr>
              <w:pStyle w:val="StandardWeb"/>
              <w:numPr>
                <w:ilvl w:val="0"/>
                <w:numId w:val="37"/>
              </w:numPr>
              <w:spacing w:before="0" w:beforeAutospacing="0" w:after="40" w:afterAutospacing="0"/>
              <w:textAlignment w:val="baseline"/>
              <w:rPr>
                <w:rFonts w:ascii="Aptos" w:hAnsi="Aptos"/>
                <w:color w:val="000000"/>
                <w:sz w:val="22"/>
                <w:szCs w:val="22"/>
              </w:rPr>
            </w:pPr>
            <w:r>
              <w:rPr>
                <w:rFonts w:ascii="Aptos" w:hAnsi="Aptos"/>
                <w:color w:val="000000"/>
                <w:sz w:val="22"/>
                <w:szCs w:val="22"/>
              </w:rPr>
              <w:lastRenderedPageBreak/>
              <w:t>Fasi di attuazione</w:t>
            </w:r>
          </w:p>
          <w:p w14:paraId="334F5494" w14:textId="77777777" w:rsidR="00700083" w:rsidRDefault="00700083" w:rsidP="00700083">
            <w:pPr>
              <w:pStyle w:val="StandardWeb"/>
              <w:numPr>
                <w:ilvl w:val="0"/>
                <w:numId w:val="37"/>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Strumenti e modelli: cosa è disponibile</w:t>
            </w:r>
          </w:p>
          <w:p w14:paraId="056C71D5" w14:textId="77777777" w:rsidR="00700083" w:rsidRDefault="00700083" w:rsidP="00700083">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Fonti per i criteri</w:t>
            </w:r>
          </w:p>
          <w:p w14:paraId="2C57B778" w14:textId="77777777" w:rsidR="00700083" w:rsidRDefault="00700083" w:rsidP="00700083">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Clausole modello per i bandi di gara</w:t>
            </w:r>
          </w:p>
          <w:p w14:paraId="3C264E2F" w14:textId="77777777" w:rsidR="00700083" w:rsidRDefault="00700083" w:rsidP="00700083">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Questionari per i fornitori</w:t>
            </w:r>
          </w:p>
          <w:p w14:paraId="43C87F9C" w14:textId="249247E1" w:rsidR="00700083" w:rsidRPr="00700083" w:rsidRDefault="00700083" w:rsidP="00700083">
            <w:pPr>
              <w:pStyle w:val="Listenabsatz"/>
              <w:numPr>
                <w:ilvl w:val="0"/>
                <w:numId w:val="40"/>
              </w:numPr>
              <w:spacing w:after="40"/>
              <w:ind w:left="691" w:hanging="426"/>
              <w:rPr>
                <w:rFonts w:ascii="Aptos" w:hAnsi="Aptos"/>
                <w:lang w:val="de-DE"/>
              </w:rPr>
            </w:pPr>
            <w:r w:rsidRPr="00700083">
              <w:rPr>
                <w:rFonts w:ascii="Aptos" w:hAnsi="Aptos"/>
                <w:color w:val="000000"/>
              </w:rPr>
              <w:t>Esercizio pratico: Sviluppo dei criteri di sostenibilità</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F1FB0" w14:textId="77777777" w:rsidR="00700083" w:rsidRDefault="00700083" w:rsidP="00700083">
            <w:pPr>
              <w:pStyle w:val="StandardWeb"/>
              <w:spacing w:before="0" w:beforeAutospacing="0" w:after="40" w:afterAutospacing="0"/>
            </w:pPr>
            <w:r>
              <w:rPr>
                <w:rFonts w:ascii="Aptos" w:hAnsi="Aptos"/>
                <w:color w:val="000000"/>
                <w:sz w:val="22"/>
                <w:szCs w:val="22"/>
              </w:rPr>
              <w:lastRenderedPageBreak/>
              <w:t xml:space="preserve">2_1_Presentazione – Pianificazione e </w:t>
            </w:r>
            <w:r>
              <w:rPr>
                <w:rFonts w:ascii="Aptos" w:hAnsi="Aptos"/>
                <w:color w:val="000000"/>
                <w:sz w:val="22"/>
                <w:szCs w:val="22"/>
              </w:rPr>
              <w:lastRenderedPageBreak/>
              <w:t>attuazione degli appalti sostenibili</w:t>
            </w:r>
          </w:p>
          <w:p w14:paraId="586A4CDF" w14:textId="0C7F6541" w:rsidR="00700083" w:rsidRPr="00051F12" w:rsidRDefault="00700083" w:rsidP="00700083">
            <w:pPr>
              <w:spacing w:after="40"/>
              <w:rPr>
                <w:rFonts w:ascii="Aptos" w:hAnsi="Aptos"/>
                <w:lang w:val="de-DE"/>
              </w:rPr>
            </w:pPr>
            <w:r>
              <w:rPr>
                <w:rFonts w:ascii="Aptos" w:hAnsi="Aptos"/>
                <w:color w:val="000000"/>
              </w:rPr>
              <w:t>2_2_Esercizio – Pianificazione e attuazione degli appalti sostenibili</w:t>
            </w:r>
          </w:p>
        </w:tc>
        <w:tc>
          <w:tcPr>
            <w:tcW w:w="7229" w:type="dxa"/>
            <w:tcBorders>
              <w:top w:val="single" w:sz="4" w:space="0" w:color="000000"/>
              <w:left w:val="single" w:sz="4" w:space="0" w:color="000000"/>
              <w:bottom w:val="single" w:sz="4" w:space="0" w:color="000000"/>
              <w:right w:val="single" w:sz="4" w:space="0" w:color="000000"/>
            </w:tcBorders>
          </w:tcPr>
          <w:p w14:paraId="7E278E73" w14:textId="77777777" w:rsidR="00700083" w:rsidRDefault="00700083" w:rsidP="00700083">
            <w:pPr>
              <w:pStyle w:val="StandardWeb"/>
              <w:spacing w:before="0" w:beforeAutospacing="0" w:after="40" w:afterAutospacing="0"/>
            </w:pPr>
            <w:r>
              <w:rPr>
                <w:rFonts w:ascii="Aptos" w:hAnsi="Aptos"/>
                <w:i/>
                <w:iCs/>
                <w:color w:val="000000"/>
                <w:sz w:val="22"/>
                <w:szCs w:val="22"/>
              </w:rPr>
              <w:lastRenderedPageBreak/>
              <w:t xml:space="preserve">Questa sessione verte su come avviare, pianificare e attuare gli appalti sostenibili. Dopo una presentazione sulle varie fasi di attuazione e sugli strumenti di supporto esistenti, è previsto un esercizio pratico su come </w:t>
            </w:r>
            <w:r>
              <w:rPr>
                <w:rFonts w:ascii="Aptos" w:hAnsi="Aptos"/>
                <w:i/>
                <w:iCs/>
                <w:color w:val="000000"/>
                <w:sz w:val="22"/>
                <w:szCs w:val="22"/>
              </w:rPr>
              <w:lastRenderedPageBreak/>
              <w:t>identificare le priorità di appalto, selezionare i gruppi di prodotti e sviluppare criteri di sostenibilità.</w:t>
            </w:r>
          </w:p>
          <w:p w14:paraId="4E90C3D1"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p>
          <w:p w14:paraId="22B5144D" w14:textId="77777777" w:rsidR="00700083" w:rsidRDefault="00700083" w:rsidP="00700083">
            <w:pPr>
              <w:pStyle w:val="StandardWeb"/>
              <w:numPr>
                <w:ilvl w:val="0"/>
                <w:numId w:val="39"/>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Fornire ai partecipanti una chiara comprensione di come pianificare e attuare gli appalti sostenibili all'interno della loro organizzazione.</w:t>
            </w:r>
          </w:p>
          <w:p w14:paraId="17D88C9E" w14:textId="77777777" w:rsidR="00700083" w:rsidRDefault="00700083" w:rsidP="00700083">
            <w:pPr>
              <w:pStyle w:val="StandardWeb"/>
              <w:numPr>
                <w:ilvl w:val="0"/>
                <w:numId w:val="39"/>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Familiarizzare i partecipanti con strumenti pratici e modelli e con le modalità per utilizzarli in modo efficace.</w:t>
            </w:r>
          </w:p>
          <w:p w14:paraId="4C8230F7" w14:textId="6997372D" w:rsidR="00700083" w:rsidRPr="00051F12" w:rsidRDefault="00700083" w:rsidP="00700083">
            <w:pPr>
              <w:pStyle w:val="Listenabsatz"/>
              <w:numPr>
                <w:ilvl w:val="0"/>
                <w:numId w:val="22"/>
              </w:numPr>
              <w:spacing w:after="40"/>
              <w:ind w:left="360"/>
              <w:rPr>
                <w:rFonts w:ascii="Aptos" w:hAnsi="Aptos"/>
                <w:lang w:val="de-DE"/>
              </w:rPr>
            </w:pPr>
            <w:r>
              <w:rPr>
                <w:rFonts w:ascii="Aptos" w:hAnsi="Aptos"/>
                <w:color w:val="000000"/>
              </w:rPr>
              <w:t>Consentire ai partecipanti di sviluppare e applicare criteri di sostenibilità, rafforzando la loro capacità di tradurre la strategia in requisiti di gara concreti.</w:t>
            </w:r>
          </w:p>
        </w:tc>
      </w:tr>
      <w:tr w:rsidR="00700083" w:rsidRPr="00051F12" w14:paraId="07927FE9"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33D55" w14:textId="60A09638" w:rsidR="00700083" w:rsidRPr="00051F12" w:rsidRDefault="00700083" w:rsidP="00700083">
            <w:pPr>
              <w:spacing w:after="40"/>
              <w:rPr>
                <w:rFonts w:ascii="Aptos" w:hAnsi="Aptos"/>
                <w:highlight w:val="yellow"/>
                <w:lang w:val="de-DE"/>
              </w:rPr>
            </w:pPr>
            <w:r>
              <w:rPr>
                <w:rFonts w:ascii="Aptos" w:hAnsi="Aptos"/>
                <w:color w:val="000000"/>
              </w:rPr>
              <w:lastRenderedPageBreak/>
              <w:t>2 ore</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E97AC" w14:textId="77777777" w:rsidR="00700083" w:rsidRDefault="00700083" w:rsidP="00700083">
            <w:pPr>
              <w:pStyle w:val="StandardWeb"/>
              <w:spacing w:before="0" w:beforeAutospacing="0" w:after="40" w:afterAutospacing="0"/>
            </w:pPr>
            <w:r>
              <w:rPr>
                <w:rFonts w:ascii="Aptos" w:hAnsi="Aptos"/>
                <w:b/>
                <w:bCs/>
                <w:color w:val="000000"/>
                <w:sz w:val="22"/>
                <w:szCs w:val="22"/>
              </w:rPr>
              <w:t>Workshop pratico</w:t>
            </w:r>
          </w:p>
          <w:p w14:paraId="5F6EC6AB" w14:textId="6F1D9A57" w:rsidR="00700083" w:rsidRPr="00051F12" w:rsidRDefault="00700083" w:rsidP="00700083">
            <w:pPr>
              <w:spacing w:after="40"/>
              <w:rPr>
                <w:rFonts w:ascii="Aptos" w:hAnsi="Aptos"/>
                <w:b/>
                <w:bCs/>
                <w:lang w:val="de-DE"/>
              </w:rPr>
            </w:pPr>
            <w:r>
              <w:rPr>
                <w:rFonts w:ascii="Aptos" w:hAnsi="Aptos"/>
                <w:color w:val="000000"/>
              </w:rPr>
              <w:t>Lavoro in piccoli gruppi: rivedere e valutare i documenti di gara tenendo conto della sostenibilità</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5C6B9" w14:textId="77777777" w:rsidR="00700083" w:rsidRDefault="00700083" w:rsidP="00700083">
            <w:pPr>
              <w:pStyle w:val="StandardWeb"/>
              <w:spacing w:before="0" w:beforeAutospacing="0" w:after="40" w:afterAutospacing="0"/>
            </w:pPr>
            <w:r>
              <w:rPr>
                <w:rFonts w:ascii="Aptos" w:hAnsi="Aptos"/>
                <w:color w:val="000000"/>
                <w:sz w:val="22"/>
                <w:szCs w:val="22"/>
              </w:rPr>
              <w:t>2_3_Esercizio – Modello di carta da copia per capitolato</w:t>
            </w:r>
          </w:p>
          <w:p w14:paraId="37C87154" w14:textId="573579ED" w:rsidR="00700083" w:rsidRPr="00051F12" w:rsidRDefault="00700083" w:rsidP="00700083">
            <w:pPr>
              <w:spacing w:after="40"/>
              <w:rPr>
                <w:rFonts w:ascii="Aptos" w:hAnsi="Aptos"/>
                <w:lang w:val="de-DE"/>
              </w:rPr>
            </w:pPr>
            <w:r>
              <w:rPr>
                <w:rFonts w:ascii="Aptos" w:hAnsi="Aptos"/>
                <w:color w:val="000000"/>
              </w:rPr>
              <w:t>2_3.1_Esercizio_Soluzioni suggerite_Modello di gara d'appalto per carta da copia</w:t>
            </w:r>
          </w:p>
        </w:tc>
        <w:tc>
          <w:tcPr>
            <w:tcW w:w="7229" w:type="dxa"/>
            <w:tcBorders>
              <w:top w:val="single" w:sz="4" w:space="0" w:color="000000"/>
              <w:left w:val="single" w:sz="4" w:space="0" w:color="000000"/>
              <w:bottom w:val="single" w:sz="4" w:space="0" w:color="000000"/>
              <w:right w:val="single" w:sz="4" w:space="0" w:color="000000"/>
            </w:tcBorders>
          </w:tcPr>
          <w:p w14:paraId="66EF6FAE" w14:textId="77777777" w:rsidR="00700083" w:rsidRDefault="00700083" w:rsidP="00700083">
            <w:pPr>
              <w:pStyle w:val="StandardWeb"/>
              <w:spacing w:before="0" w:beforeAutospacing="0" w:after="40" w:afterAutospacing="0"/>
            </w:pPr>
            <w:r>
              <w:rPr>
                <w:rFonts w:ascii="Aptos" w:hAnsi="Aptos"/>
                <w:i/>
                <w:iCs/>
                <w:color w:val="000000"/>
                <w:sz w:val="22"/>
                <w:szCs w:val="22"/>
              </w:rPr>
              <w:t>I partecipanti vengono suddivisi in gruppi e devono lavorare su una gara d'appalto per la carta da fotocopie. I documenti di gara non menzionano criteri di sostenibilità. I gruppi devono ricercare e proporre criteri di sostenibilità nelle diverse fasi della procedura di appalto. È possibile fornire loro un link ai criteri di sostenibilità per la carta da fotocopie o una gara d'appalto reale proveniente da un paese in cui sono inclusi criteri di sostenibilità. Il documento 2_3.1 con le soluzioni è destinato al formatore e può essere distribuito ai partecipanti in seguito</w:t>
            </w:r>
            <w:r>
              <w:rPr>
                <w:rFonts w:ascii="Aptos" w:hAnsi="Aptos"/>
                <w:color w:val="000000"/>
                <w:sz w:val="22"/>
                <w:szCs w:val="22"/>
              </w:rPr>
              <w:t>.</w:t>
            </w:r>
          </w:p>
          <w:p w14:paraId="0A9C5D93"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r>
              <w:rPr>
                <w:rFonts w:ascii="Aptos" w:hAnsi="Aptos"/>
                <w:color w:val="000000"/>
                <w:sz w:val="22"/>
                <w:szCs w:val="22"/>
              </w:rPr>
              <w:t>:</w:t>
            </w:r>
          </w:p>
          <w:p w14:paraId="2BBE9171" w14:textId="77777777" w:rsidR="00700083" w:rsidRDefault="00700083" w:rsidP="00700083">
            <w:pPr>
              <w:pStyle w:val="StandardWeb"/>
              <w:numPr>
                <w:ilvl w:val="0"/>
                <w:numId w:val="41"/>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Consentire ai partecipanti di ricercare, selezionare e giustificare criteri ambientali e sociali appropriati per un gruppo di prodotti specifico, utilizzando le linee guida disponibili ed esempi reali.</w:t>
            </w:r>
          </w:p>
          <w:p w14:paraId="514CF7A7" w14:textId="48DE6900" w:rsidR="00700083" w:rsidRPr="00051F12" w:rsidRDefault="00700083" w:rsidP="00700083">
            <w:pPr>
              <w:pStyle w:val="Listenabsatz"/>
              <w:numPr>
                <w:ilvl w:val="0"/>
                <w:numId w:val="23"/>
              </w:numPr>
              <w:spacing w:after="40"/>
              <w:ind w:left="360"/>
              <w:rPr>
                <w:rFonts w:ascii="Aptos" w:hAnsi="Aptos"/>
                <w:lang w:val="de-DE"/>
              </w:rPr>
            </w:pPr>
            <w:r>
              <w:rPr>
                <w:rFonts w:ascii="Aptos" w:hAnsi="Aptos"/>
                <w:color w:val="000000"/>
              </w:rPr>
              <w:t>Promuovere l'apprendimento tra pari e la riflessione attraverso il lavoro di gruppo e il confronto con soluzioni modello.</w:t>
            </w:r>
          </w:p>
        </w:tc>
      </w:tr>
      <w:tr w:rsidR="00700083" w:rsidRPr="00051F12" w14:paraId="490A2101"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1CD56" w14:textId="0B59D9BF" w:rsidR="00700083" w:rsidRPr="00051F12" w:rsidRDefault="00700083" w:rsidP="00700083">
            <w:pPr>
              <w:spacing w:after="40"/>
              <w:rPr>
                <w:rFonts w:ascii="Aptos" w:hAnsi="Aptos"/>
                <w:highlight w:val="yellow"/>
                <w:lang w:val="de-DE"/>
              </w:rPr>
            </w:pPr>
            <w:r>
              <w:rPr>
                <w:rFonts w:ascii="Aptos" w:hAnsi="Aptos"/>
                <w:color w:val="000000"/>
              </w:rPr>
              <w:t>2 ore</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E9A7F" w14:textId="77777777" w:rsidR="00700083" w:rsidRDefault="00700083" w:rsidP="00700083">
            <w:pPr>
              <w:pStyle w:val="StandardWeb"/>
              <w:spacing w:before="0" w:beforeAutospacing="0" w:after="40" w:afterAutospacing="0"/>
            </w:pPr>
            <w:r>
              <w:rPr>
                <w:rFonts w:ascii="Aptos" w:hAnsi="Aptos"/>
                <w:b/>
                <w:bCs/>
                <w:color w:val="000000"/>
                <w:sz w:val="22"/>
                <w:szCs w:val="22"/>
              </w:rPr>
              <w:t>Casi di studio locali / Condivisione tra pari</w:t>
            </w:r>
          </w:p>
          <w:p w14:paraId="33A9D4F3" w14:textId="77777777" w:rsidR="00700083" w:rsidRDefault="00700083" w:rsidP="00700083">
            <w:pPr>
              <w:pStyle w:val="StandardWeb"/>
              <w:numPr>
                <w:ilvl w:val="0"/>
                <w:numId w:val="42"/>
              </w:numPr>
              <w:spacing w:before="0" w:beforeAutospacing="0" w:after="40" w:afterAutospacing="0"/>
              <w:textAlignment w:val="baseline"/>
              <w:rPr>
                <w:rFonts w:ascii="Aptos" w:hAnsi="Aptos"/>
                <w:color w:val="000000"/>
                <w:sz w:val="22"/>
                <w:szCs w:val="22"/>
              </w:rPr>
            </w:pPr>
            <w:r>
              <w:rPr>
                <w:rFonts w:ascii="Aptos" w:hAnsi="Aptos"/>
                <w:color w:val="000000"/>
                <w:sz w:val="22"/>
                <w:szCs w:val="22"/>
              </w:rPr>
              <w:lastRenderedPageBreak/>
              <w:t>Esempi di successo di piccoli comuni simili</w:t>
            </w:r>
          </w:p>
          <w:p w14:paraId="727A4A41" w14:textId="155B4DD0" w:rsidR="00700083" w:rsidRPr="00051F12" w:rsidRDefault="00700083" w:rsidP="00700083">
            <w:pPr>
              <w:numPr>
                <w:ilvl w:val="0"/>
                <w:numId w:val="14"/>
              </w:numPr>
              <w:spacing w:after="40"/>
              <w:rPr>
                <w:rFonts w:ascii="Aptos" w:hAnsi="Aptos"/>
                <w:lang w:val="de-DE"/>
              </w:rPr>
            </w:pPr>
            <w:r>
              <w:rPr>
                <w:rFonts w:ascii="Aptos" w:hAnsi="Aptos"/>
                <w:color w:val="000000"/>
              </w:rPr>
              <w:t>Insidie da evitare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7C21F" w14:textId="77777777" w:rsidR="00700083" w:rsidRDefault="00700083" w:rsidP="00700083">
            <w:pPr>
              <w:pStyle w:val="StandardWeb"/>
              <w:spacing w:before="0" w:beforeAutospacing="0" w:after="40" w:afterAutospacing="0"/>
            </w:pPr>
            <w:r>
              <w:rPr>
                <w:rFonts w:ascii="Aptos" w:hAnsi="Aptos"/>
                <w:color w:val="000000"/>
                <w:sz w:val="22"/>
                <w:szCs w:val="22"/>
              </w:rPr>
              <w:lastRenderedPageBreak/>
              <w:t>2_4_Presentazione – Casi di studio locali – Condivisione tra pari</w:t>
            </w:r>
          </w:p>
          <w:p w14:paraId="313D1C9B" w14:textId="64AEE3AB" w:rsidR="00700083" w:rsidRPr="00051F12" w:rsidRDefault="00700083" w:rsidP="00700083">
            <w:pPr>
              <w:spacing w:after="40"/>
              <w:rPr>
                <w:rFonts w:ascii="Aptos" w:hAnsi="Aptos"/>
                <w:lang w:val="de-DE"/>
              </w:rPr>
            </w:pPr>
            <w:r>
              <w:rPr>
                <w:rFonts w:ascii="Aptos" w:hAnsi="Aptos"/>
                <w:color w:val="000000"/>
              </w:rPr>
              <w:lastRenderedPageBreak/>
              <w:t>2_5_Esercizio – Casi di studio locali – Condivisione tra pari</w:t>
            </w:r>
          </w:p>
        </w:tc>
        <w:tc>
          <w:tcPr>
            <w:tcW w:w="7229" w:type="dxa"/>
            <w:tcBorders>
              <w:top w:val="single" w:sz="4" w:space="0" w:color="000000"/>
              <w:left w:val="single" w:sz="4" w:space="0" w:color="000000"/>
              <w:bottom w:val="single" w:sz="4" w:space="0" w:color="000000"/>
              <w:right w:val="single" w:sz="4" w:space="0" w:color="000000"/>
            </w:tcBorders>
          </w:tcPr>
          <w:p w14:paraId="3ADA078F" w14:textId="77777777" w:rsidR="00700083" w:rsidRDefault="00700083" w:rsidP="00700083">
            <w:pPr>
              <w:pStyle w:val="StandardWeb"/>
              <w:spacing w:before="0" w:beforeAutospacing="0" w:after="160" w:afterAutospacing="0"/>
            </w:pPr>
            <w:r>
              <w:rPr>
                <w:rFonts w:ascii="Aptos" w:hAnsi="Aptos"/>
                <w:i/>
                <w:iCs/>
                <w:color w:val="000000"/>
                <w:sz w:val="22"/>
                <w:szCs w:val="22"/>
              </w:rPr>
              <w:lastRenderedPageBreak/>
              <w:t xml:space="preserve">Mostrate alcuni esempi di buone pratiche tramite la presentazione o un poster. Potete anche scegliere altri casi di studio dalla vostra rete. Dividete poi i partecipanti in gruppi, distribuite i casi di studio e chiedete loro di discuterne e di rispondere a domande quali: Quale pensate sia </w:t>
            </w:r>
            <w:r>
              <w:rPr>
                <w:rFonts w:ascii="Aptos" w:hAnsi="Aptos"/>
                <w:i/>
                <w:iCs/>
                <w:color w:val="000000"/>
                <w:sz w:val="22"/>
                <w:szCs w:val="22"/>
              </w:rPr>
              <w:lastRenderedPageBreak/>
              <w:t>stato il fattore decisivo per il successo? Quali sono le insidie da evitare? Dove risiederebbero le difficoltà nel vostro comune rispetto alla buona pratica, ecc.?</w:t>
            </w:r>
          </w:p>
          <w:p w14:paraId="5960CF1E" w14:textId="77777777" w:rsidR="00700083" w:rsidRDefault="00700083" w:rsidP="00700083">
            <w:pPr>
              <w:pStyle w:val="StandardWeb"/>
              <w:spacing w:before="0" w:beforeAutospacing="0" w:after="160" w:afterAutospacing="0"/>
            </w:pPr>
            <w:r>
              <w:rPr>
                <w:rFonts w:ascii="Aptos" w:hAnsi="Aptos"/>
                <w:b/>
                <w:bCs/>
                <w:color w:val="000000"/>
                <w:sz w:val="22"/>
                <w:szCs w:val="22"/>
              </w:rPr>
              <w:t>Obiettivi:</w:t>
            </w:r>
          </w:p>
          <w:p w14:paraId="71F68764" w14:textId="77777777" w:rsidR="00700083" w:rsidRDefault="00700083" w:rsidP="00700083">
            <w:pPr>
              <w:pStyle w:val="StandardWeb"/>
              <w:numPr>
                <w:ilvl w:val="0"/>
                <w:numId w:val="43"/>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Identificare i fattori chiave di successo e le insidie comuni analizzando casi di studio reali e riflettendo su ciò che ha favorito o ostacolato l'attuazione.</w:t>
            </w:r>
          </w:p>
          <w:p w14:paraId="77ADE90A" w14:textId="19B4EAD6" w:rsidR="00700083" w:rsidRPr="00051F12" w:rsidRDefault="00700083" w:rsidP="00700083">
            <w:pPr>
              <w:pStyle w:val="Listenabsatz"/>
              <w:numPr>
                <w:ilvl w:val="0"/>
                <w:numId w:val="23"/>
              </w:numPr>
              <w:pBdr>
                <w:top w:val="nil"/>
                <w:left w:val="nil"/>
                <w:bottom w:val="nil"/>
                <w:right w:val="nil"/>
                <w:between w:val="nil"/>
              </w:pBdr>
              <w:spacing w:after="40"/>
              <w:ind w:left="360"/>
              <w:rPr>
                <w:rFonts w:ascii="Aptos" w:eastAsia="Times New Roman" w:hAnsi="Aptos" w:cs="Times New Roman"/>
                <w:color w:val="000000"/>
                <w:lang w:val="de-DE"/>
              </w:rPr>
            </w:pPr>
            <w:r>
              <w:rPr>
                <w:rFonts w:ascii="Aptos" w:hAnsi="Aptos"/>
                <w:color w:val="000000"/>
              </w:rPr>
              <w:t>Incoraggiare l'apprendimento tra pari e la contestualizzazione discutendo di come le lezioni apprese possano essere trasferite ai propri comuni, comprese le potenziali sfide e le esigenze di adattamento.</w:t>
            </w:r>
          </w:p>
        </w:tc>
      </w:tr>
    </w:tbl>
    <w:p w14:paraId="41CCCEEF" w14:textId="77777777" w:rsidR="005B036F" w:rsidRDefault="005B036F" w:rsidP="00A03BA3">
      <w:pPr>
        <w:pStyle w:val="berschrift3"/>
        <w:rPr>
          <w:lang w:val="de-DE"/>
        </w:rPr>
      </w:pPr>
    </w:p>
    <w:p w14:paraId="46697A9E" w14:textId="77777777" w:rsidR="005B036F" w:rsidRDefault="005B036F">
      <w:pPr>
        <w:spacing w:after="0" w:line="240" w:lineRule="auto"/>
        <w:rPr>
          <w:rFonts w:eastAsiaTheme="majorEastAsia" w:cstheme="majorBidi"/>
          <w:color w:val="0F4761" w:themeColor="accent1" w:themeShade="BF"/>
          <w:sz w:val="28"/>
          <w:szCs w:val="28"/>
          <w:lang w:val="de-DE"/>
        </w:rPr>
      </w:pPr>
      <w:r>
        <w:rPr>
          <w:lang w:val="de-DE"/>
        </w:rPr>
        <w:br w:type="page"/>
      </w:r>
    </w:p>
    <w:p w14:paraId="503B18C2" w14:textId="343CD8E3" w:rsidR="00D118F5" w:rsidRPr="00700083" w:rsidRDefault="00700083" w:rsidP="00A03BA3">
      <w:pPr>
        <w:pStyle w:val="berschrift3"/>
        <w:rPr>
          <w:rFonts w:ascii="Aptos" w:hAnsi="Aptos"/>
          <w:sz w:val="32"/>
          <w:szCs w:val="32"/>
          <w:lang w:val="de-DE"/>
        </w:rPr>
      </w:pPr>
      <w:r w:rsidRPr="00700083">
        <w:rPr>
          <w:rFonts w:ascii="Aptos" w:hAnsi="Aptos" w:cs="Calibri"/>
          <w:color w:val="0F4761"/>
          <w:sz w:val="32"/>
          <w:szCs w:val="32"/>
        </w:rPr>
        <w:lastRenderedPageBreak/>
        <w:t>Giorno 3 – Esercitazione</w:t>
      </w:r>
    </w:p>
    <w:tbl>
      <w:tblPr>
        <w:tblW w:w="13887" w:type="dxa"/>
        <w:tblLayout w:type="fixed"/>
        <w:tblLook w:val="0400" w:firstRow="0" w:lastRow="0" w:firstColumn="0" w:lastColumn="0" w:noHBand="0" w:noVBand="1"/>
      </w:tblPr>
      <w:tblGrid>
        <w:gridCol w:w="1021"/>
        <w:gridCol w:w="3085"/>
        <w:gridCol w:w="2552"/>
        <w:gridCol w:w="7229"/>
      </w:tblGrid>
      <w:tr w:rsidR="00700083" w:rsidRPr="00051F12" w14:paraId="7E5ABDED" w14:textId="77777777" w:rsidTr="00932E4A">
        <w:trPr>
          <w:trHeight w:val="295"/>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1B1E2" w14:textId="4ABB84FF" w:rsidR="00700083" w:rsidRPr="00051F12" w:rsidRDefault="00700083" w:rsidP="00700083">
            <w:pPr>
              <w:spacing w:after="40"/>
              <w:rPr>
                <w:rFonts w:ascii="Aptos" w:hAnsi="Aptos"/>
                <w:b/>
                <w:bCs/>
                <w:lang w:val="de-DE"/>
              </w:rPr>
            </w:pPr>
            <w:r>
              <w:rPr>
                <w:rFonts w:ascii="Aptos" w:hAnsi="Aptos"/>
                <w:b/>
                <w:bCs/>
                <w:color w:val="000000"/>
              </w:rPr>
              <w:t>Ora</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1D1B1" w14:textId="2C6F7A56" w:rsidR="00700083" w:rsidRPr="00051F12" w:rsidRDefault="00700083" w:rsidP="00700083">
            <w:pPr>
              <w:spacing w:after="40"/>
              <w:rPr>
                <w:rFonts w:ascii="Aptos" w:hAnsi="Aptos"/>
                <w:lang w:val="de-DE"/>
              </w:rPr>
            </w:pPr>
            <w:r>
              <w:rPr>
                <w:rFonts w:ascii="Aptos" w:hAnsi="Aptos"/>
                <w:b/>
                <w:bCs/>
                <w:color w:val="000000"/>
              </w:rPr>
              <w:t>Titolo e descrizione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63BAE" w14:textId="7A1C40CD" w:rsidR="00700083" w:rsidRPr="00051F12" w:rsidRDefault="00700083" w:rsidP="00700083">
            <w:pPr>
              <w:spacing w:after="40"/>
              <w:rPr>
                <w:rFonts w:ascii="Aptos" w:hAnsi="Aptos"/>
                <w:lang w:val="de-DE"/>
              </w:rPr>
            </w:pPr>
            <w:r>
              <w:rPr>
                <w:rFonts w:ascii="Aptos" w:hAnsi="Aptos"/>
                <w:b/>
                <w:bCs/>
                <w:color w:val="000000"/>
              </w:rPr>
              <w:t>Materiale</w:t>
            </w:r>
          </w:p>
        </w:tc>
        <w:tc>
          <w:tcPr>
            <w:tcW w:w="7229" w:type="dxa"/>
            <w:tcBorders>
              <w:top w:val="single" w:sz="4" w:space="0" w:color="000000"/>
              <w:left w:val="single" w:sz="4" w:space="0" w:color="000000"/>
              <w:bottom w:val="single" w:sz="4" w:space="0" w:color="000000"/>
              <w:right w:val="single" w:sz="4" w:space="0" w:color="000000"/>
            </w:tcBorders>
          </w:tcPr>
          <w:p w14:paraId="225051B1" w14:textId="70EF6BCD" w:rsidR="00700083" w:rsidRPr="00051F12" w:rsidRDefault="00700083" w:rsidP="00700083">
            <w:pPr>
              <w:spacing w:after="40"/>
              <w:rPr>
                <w:rFonts w:ascii="Aptos" w:hAnsi="Aptos"/>
                <w:b/>
                <w:bCs/>
                <w:lang w:val="de-DE"/>
              </w:rPr>
            </w:pPr>
            <w:r>
              <w:rPr>
                <w:rFonts w:ascii="Aptos" w:hAnsi="Aptos"/>
                <w:b/>
                <w:bCs/>
                <w:color w:val="000000"/>
              </w:rPr>
              <w:t>Istruzioni e obiettivi per il formatore</w:t>
            </w:r>
          </w:p>
        </w:tc>
      </w:tr>
      <w:tr w:rsidR="00700083" w:rsidRPr="00051F12" w14:paraId="4B2693C8"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52A00" w14:textId="2AA41852" w:rsidR="00700083" w:rsidRPr="00051F12" w:rsidRDefault="00700083" w:rsidP="00700083">
            <w:pPr>
              <w:spacing w:after="40"/>
              <w:rPr>
                <w:rFonts w:ascii="Aptos" w:hAnsi="Aptos"/>
                <w:lang w:val="de-DE"/>
              </w:rPr>
            </w:pPr>
            <w:r>
              <w:rPr>
                <w:rFonts w:ascii="Aptos" w:hAnsi="Aptos"/>
                <w:color w:val="000000"/>
              </w:rPr>
              <w:t>30 min</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4E7C2" w14:textId="77777777" w:rsidR="00700083" w:rsidRDefault="00700083" w:rsidP="00700083">
            <w:pPr>
              <w:pStyle w:val="StandardWeb"/>
              <w:spacing w:before="0" w:beforeAutospacing="0" w:after="40" w:afterAutospacing="0"/>
            </w:pPr>
            <w:r>
              <w:rPr>
                <w:rFonts w:ascii="Aptos" w:hAnsi="Aptos"/>
                <w:b/>
                <w:bCs/>
                <w:color w:val="000000"/>
                <w:sz w:val="22"/>
                <w:szCs w:val="22"/>
              </w:rPr>
              <w:t>Erogazione della formazione locale</w:t>
            </w:r>
          </w:p>
          <w:p w14:paraId="3DEBC2EF" w14:textId="77777777" w:rsidR="00700083" w:rsidRDefault="00700083" w:rsidP="00700083">
            <w:pPr>
              <w:pStyle w:val="StandardWeb"/>
              <w:numPr>
                <w:ilvl w:val="0"/>
                <w:numId w:val="44"/>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Adattare i materiali al contesto locale</w:t>
            </w:r>
          </w:p>
          <w:p w14:paraId="18A23347" w14:textId="77777777" w:rsidR="00700083" w:rsidRDefault="00700083" w:rsidP="00700083">
            <w:pPr>
              <w:pStyle w:val="StandardWeb"/>
              <w:numPr>
                <w:ilvl w:val="0"/>
                <w:numId w:val="44"/>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Semplificare concetti complessi</w:t>
            </w:r>
          </w:p>
          <w:p w14:paraId="2105FB6C" w14:textId="2195E637" w:rsidR="00700083" w:rsidRPr="00051F12" w:rsidRDefault="00700083" w:rsidP="00700083">
            <w:pPr>
              <w:numPr>
                <w:ilvl w:val="0"/>
                <w:numId w:val="2"/>
              </w:numPr>
              <w:spacing w:after="40"/>
              <w:rPr>
                <w:rFonts w:ascii="Aptos" w:hAnsi="Aptos"/>
                <w:lang w:val="de-DE"/>
              </w:rPr>
            </w:pPr>
            <w:r>
              <w:rPr>
                <w:rFonts w:ascii="Aptos" w:hAnsi="Aptos"/>
                <w:color w:val="000000"/>
              </w:rPr>
              <w:t>Incoraggiare il cambiamento comportamentale e la collaborazione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D8108" w14:textId="77777777" w:rsidR="00700083" w:rsidRDefault="00700083" w:rsidP="00700083">
            <w:pPr>
              <w:pStyle w:val="StandardWeb"/>
              <w:spacing w:before="0" w:beforeAutospacing="0" w:after="40" w:afterAutospacing="0"/>
            </w:pPr>
            <w:r>
              <w:rPr>
                <w:rFonts w:ascii="Aptos" w:hAnsi="Aptos"/>
                <w:color w:val="000000"/>
                <w:sz w:val="22"/>
                <w:szCs w:val="22"/>
              </w:rPr>
              <w:t>3_1_Presentazione – Erogazione della formazione locale</w:t>
            </w:r>
          </w:p>
          <w:p w14:paraId="2190F23E" w14:textId="0435C430" w:rsidR="00700083" w:rsidRPr="00051F12" w:rsidRDefault="00700083" w:rsidP="00700083">
            <w:pPr>
              <w:spacing w:after="40"/>
              <w:rPr>
                <w:rFonts w:ascii="Aptos" w:hAnsi="Aptos"/>
                <w:lang w:val="de-DE"/>
              </w:rPr>
            </w:pPr>
          </w:p>
        </w:tc>
        <w:tc>
          <w:tcPr>
            <w:tcW w:w="7229" w:type="dxa"/>
            <w:tcBorders>
              <w:top w:val="single" w:sz="4" w:space="0" w:color="000000"/>
              <w:left w:val="single" w:sz="4" w:space="0" w:color="000000"/>
              <w:bottom w:val="single" w:sz="4" w:space="0" w:color="000000"/>
              <w:right w:val="single" w:sz="4" w:space="0" w:color="000000"/>
            </w:tcBorders>
          </w:tcPr>
          <w:p w14:paraId="6038B070"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p>
          <w:p w14:paraId="79D5B524" w14:textId="77777777" w:rsidR="00700083" w:rsidRDefault="00700083" w:rsidP="00700083">
            <w:pPr>
              <w:pStyle w:val="StandardWeb"/>
              <w:numPr>
                <w:ilvl w:val="0"/>
                <w:numId w:val="45"/>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Consentire ai partecipanti di adattare i materiali formativi e gli esempi al loro specifico contesto comunale, garantendone la pertinenza e l'applicabilità pratica.</w:t>
            </w:r>
          </w:p>
          <w:p w14:paraId="16931AF8" w14:textId="77777777" w:rsidR="00700083" w:rsidRDefault="00700083" w:rsidP="00700083">
            <w:pPr>
              <w:pStyle w:val="StandardWeb"/>
              <w:numPr>
                <w:ilvl w:val="0"/>
                <w:numId w:val="45"/>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Rafforzare la capacità dei partecipanti di semplificare concetti complessi relativi agli appalti e alla sostenibilità senza perdere in accuratezza, rendendoli accessibili a diversi gruppi target.</w:t>
            </w:r>
          </w:p>
          <w:p w14:paraId="51D7495F" w14:textId="247E5D5C" w:rsidR="00700083" w:rsidRPr="00051F12" w:rsidRDefault="00700083" w:rsidP="00700083">
            <w:pPr>
              <w:pStyle w:val="Listenabsatz"/>
              <w:numPr>
                <w:ilvl w:val="0"/>
                <w:numId w:val="25"/>
              </w:numPr>
              <w:spacing w:after="40"/>
              <w:ind w:left="360"/>
              <w:rPr>
                <w:rFonts w:ascii="Aptos" w:hAnsi="Aptos"/>
                <w:lang w:val="de-DE"/>
              </w:rPr>
            </w:pPr>
            <w:r>
              <w:rPr>
                <w:rFonts w:ascii="Aptos" w:hAnsi="Aptos"/>
                <w:color w:val="000000"/>
              </w:rPr>
              <w:t>Fornire ai partecipanti strategie per promuovere il cambiamento comportamentale, l'impegno e la collaborazione interdipartimentale durante lo svolgimento delle sessioni di formazione locale.</w:t>
            </w:r>
          </w:p>
        </w:tc>
      </w:tr>
      <w:tr w:rsidR="00700083" w:rsidRPr="00051F12" w14:paraId="256259E6"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D0186" w14:textId="5DAC0410" w:rsidR="00700083" w:rsidRPr="00051F12" w:rsidRDefault="00700083" w:rsidP="00700083">
            <w:pPr>
              <w:spacing w:after="40"/>
              <w:rPr>
                <w:rFonts w:ascii="Aptos" w:hAnsi="Aptos"/>
                <w:highlight w:val="yellow"/>
                <w:lang w:val="de-DE"/>
              </w:rPr>
            </w:pPr>
            <w:r>
              <w:rPr>
                <w:rFonts w:ascii="Aptos" w:hAnsi="Aptos"/>
                <w:color w:val="000000"/>
              </w:rPr>
              <w:t>1 ora</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28E87" w14:textId="77777777" w:rsidR="00700083" w:rsidRDefault="00700083" w:rsidP="00700083">
            <w:pPr>
              <w:pStyle w:val="StandardWeb"/>
              <w:spacing w:before="0" w:beforeAutospacing="0" w:after="40" w:afterAutospacing="0"/>
            </w:pPr>
            <w:r>
              <w:rPr>
                <w:rFonts w:ascii="Aptos" w:hAnsi="Aptos"/>
                <w:b/>
                <w:bCs/>
                <w:color w:val="000000"/>
                <w:sz w:val="22"/>
                <w:szCs w:val="22"/>
              </w:rPr>
              <w:t>Monitoraggio e valutazione</w:t>
            </w:r>
          </w:p>
          <w:p w14:paraId="1AA2ABC9" w14:textId="77777777" w:rsidR="00700083" w:rsidRDefault="00700083" w:rsidP="00700083">
            <w:pPr>
              <w:pStyle w:val="StandardWeb"/>
              <w:numPr>
                <w:ilvl w:val="0"/>
                <w:numId w:val="46"/>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Monitoraggio dell'attuazione a livello locale</w:t>
            </w:r>
          </w:p>
          <w:p w14:paraId="6DA4F038" w14:textId="77777777" w:rsidR="00700083" w:rsidRDefault="00700083" w:rsidP="00700083">
            <w:pPr>
              <w:pStyle w:val="StandardWeb"/>
              <w:numPr>
                <w:ilvl w:val="0"/>
                <w:numId w:val="46"/>
              </w:numPr>
              <w:spacing w:before="0" w:beforeAutospacing="0" w:after="40" w:afterAutospacing="0"/>
              <w:textAlignment w:val="baseline"/>
              <w:rPr>
                <w:rFonts w:ascii="Aptos" w:hAnsi="Aptos"/>
                <w:b/>
                <w:bCs/>
                <w:color w:val="000000"/>
                <w:sz w:val="22"/>
                <w:szCs w:val="22"/>
              </w:rPr>
            </w:pPr>
            <w:r>
              <w:rPr>
                <w:rFonts w:ascii="Aptos" w:hAnsi="Aptos"/>
                <w:color w:val="000000"/>
                <w:sz w:val="22"/>
                <w:szCs w:val="22"/>
              </w:rPr>
              <w:t>KPI e rendicontazione</w:t>
            </w:r>
          </w:p>
          <w:p w14:paraId="2C003890" w14:textId="6BA08901" w:rsidR="00700083" w:rsidRPr="00051F12" w:rsidRDefault="00700083" w:rsidP="00700083">
            <w:pPr>
              <w:numPr>
                <w:ilvl w:val="0"/>
                <w:numId w:val="5"/>
              </w:numPr>
              <w:spacing w:after="40"/>
              <w:rPr>
                <w:rFonts w:ascii="Aptos" w:hAnsi="Aptos"/>
                <w:b/>
                <w:bCs/>
                <w:lang w:val="de-DE"/>
              </w:rPr>
            </w:pPr>
            <w:r>
              <w:rPr>
                <w:rFonts w:ascii="Aptos" w:hAnsi="Aptos"/>
                <w:color w:val="000000"/>
              </w:rPr>
              <w:t>Meccanismi di feedback</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6BFB6" w14:textId="1EAFB795" w:rsidR="00700083" w:rsidRPr="00051F12" w:rsidRDefault="00700083" w:rsidP="00700083">
            <w:pPr>
              <w:spacing w:after="40"/>
              <w:rPr>
                <w:rFonts w:ascii="Aptos" w:hAnsi="Aptos"/>
                <w:lang w:val="de-DE"/>
              </w:rPr>
            </w:pPr>
            <w:r>
              <w:rPr>
                <w:rFonts w:ascii="Aptos" w:hAnsi="Aptos"/>
                <w:color w:val="000000"/>
              </w:rPr>
              <w:t>3_2_Presentazione – Monitoraggio e valutazione</w:t>
            </w:r>
          </w:p>
        </w:tc>
        <w:tc>
          <w:tcPr>
            <w:tcW w:w="7229" w:type="dxa"/>
            <w:tcBorders>
              <w:top w:val="single" w:sz="4" w:space="0" w:color="000000"/>
              <w:left w:val="single" w:sz="4" w:space="0" w:color="000000"/>
              <w:bottom w:val="single" w:sz="4" w:space="0" w:color="000000"/>
              <w:right w:val="single" w:sz="4" w:space="0" w:color="000000"/>
            </w:tcBorders>
          </w:tcPr>
          <w:p w14:paraId="06831444" w14:textId="77777777" w:rsidR="00700083" w:rsidRDefault="00700083" w:rsidP="00700083">
            <w:pPr>
              <w:pStyle w:val="StandardWeb"/>
              <w:spacing w:before="0" w:beforeAutospacing="0" w:after="40" w:afterAutospacing="0"/>
            </w:pPr>
            <w:r>
              <w:rPr>
                <w:rFonts w:ascii="Aptos" w:hAnsi="Aptos"/>
                <w:b/>
                <w:bCs/>
                <w:color w:val="000000"/>
                <w:sz w:val="22"/>
                <w:szCs w:val="22"/>
              </w:rPr>
              <w:t>Obiettivi:</w:t>
            </w:r>
          </w:p>
          <w:p w14:paraId="6DAD3297" w14:textId="77777777" w:rsidR="00700083" w:rsidRDefault="00700083" w:rsidP="00700083">
            <w:pPr>
              <w:pStyle w:val="StandardWeb"/>
              <w:numPr>
                <w:ilvl w:val="0"/>
                <w:numId w:val="47"/>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Aiutare i partecipanti a capire come monitorare in modo sistematico l'attuazione locale delle pratiche di appalto sostenibile.</w:t>
            </w:r>
          </w:p>
          <w:p w14:paraId="287ACC69" w14:textId="77777777" w:rsidR="00700083" w:rsidRDefault="00700083" w:rsidP="00700083">
            <w:pPr>
              <w:pStyle w:val="StandardWeb"/>
              <w:numPr>
                <w:ilvl w:val="0"/>
                <w:numId w:val="47"/>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Introdurre KPI pratici e approcci di rendicontazione per misurare i progressi, dimostrare l'impatto e garantire la responsabilità.</w:t>
            </w:r>
          </w:p>
          <w:p w14:paraId="0F7562F7" w14:textId="0A008DDF" w:rsidR="00700083" w:rsidRPr="00051F12" w:rsidRDefault="00700083" w:rsidP="00700083">
            <w:pPr>
              <w:pStyle w:val="Listenabsatz"/>
              <w:numPr>
                <w:ilvl w:val="0"/>
                <w:numId w:val="26"/>
              </w:numPr>
              <w:spacing w:after="40"/>
              <w:rPr>
                <w:rFonts w:ascii="Aptos" w:hAnsi="Aptos"/>
                <w:lang w:val="de-DE"/>
              </w:rPr>
            </w:pPr>
            <w:r>
              <w:rPr>
                <w:rFonts w:ascii="Aptos" w:hAnsi="Aptos"/>
                <w:color w:val="000000"/>
              </w:rPr>
              <w:t>Sviluppare meccanismi di feedback efficaci che supportino il miglioramento continuo, l'apprendimento e il cambiamento istituzionale a lungo termine.</w:t>
            </w:r>
          </w:p>
        </w:tc>
      </w:tr>
      <w:tr w:rsidR="00700083" w:rsidRPr="00051F12" w14:paraId="2507209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04A6E" w14:textId="06E47340" w:rsidR="00700083" w:rsidRPr="00051F12" w:rsidRDefault="00700083" w:rsidP="00700083">
            <w:pPr>
              <w:spacing w:after="40"/>
              <w:rPr>
                <w:rFonts w:ascii="Aptos" w:hAnsi="Aptos"/>
                <w:highlight w:val="yellow"/>
                <w:lang w:val="de-DE"/>
              </w:rPr>
            </w:pPr>
            <w:r>
              <w:rPr>
                <w:rFonts w:ascii="Aptos" w:hAnsi="Aptos"/>
                <w:color w:val="000000"/>
              </w:rPr>
              <w:t>2 ore</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9B1B3" w14:textId="77777777" w:rsidR="00700083" w:rsidRDefault="00700083" w:rsidP="00700083">
            <w:pPr>
              <w:pStyle w:val="StandardWeb"/>
              <w:spacing w:before="0" w:beforeAutospacing="0" w:after="40" w:afterAutospacing="0"/>
            </w:pPr>
            <w:r>
              <w:rPr>
                <w:rFonts w:ascii="Aptos" w:hAnsi="Aptos"/>
                <w:b/>
                <w:bCs/>
                <w:color w:val="000000"/>
                <w:sz w:val="22"/>
                <w:szCs w:val="22"/>
              </w:rPr>
              <w:t>Sessioni pratiche</w:t>
            </w:r>
          </w:p>
          <w:p w14:paraId="2042E94F" w14:textId="77777777" w:rsidR="00700083" w:rsidRDefault="00700083" w:rsidP="00700083">
            <w:pPr>
              <w:pStyle w:val="StandardWeb"/>
              <w:numPr>
                <w:ilvl w:val="0"/>
                <w:numId w:val="48"/>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Ogni partecipante tiene una mini-sessione</w:t>
            </w:r>
          </w:p>
          <w:p w14:paraId="6E2560E8" w14:textId="41FD47E7" w:rsidR="00700083" w:rsidRPr="00051F12" w:rsidRDefault="00700083" w:rsidP="00700083">
            <w:pPr>
              <w:numPr>
                <w:ilvl w:val="0"/>
                <w:numId w:val="3"/>
              </w:numPr>
              <w:spacing w:after="40"/>
              <w:rPr>
                <w:rFonts w:ascii="Aptos" w:hAnsi="Aptos"/>
                <w:lang w:val="de-DE"/>
              </w:rPr>
            </w:pPr>
            <w:r>
              <w:rPr>
                <w:rFonts w:ascii="Aptos" w:hAnsi="Aptos"/>
                <w:color w:val="000000"/>
              </w:rPr>
              <w:t>Feedback tra pari</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A5020" w14:textId="77777777" w:rsidR="00700083" w:rsidRDefault="00700083" w:rsidP="00700083">
            <w:pPr>
              <w:pStyle w:val="StandardWeb"/>
              <w:spacing w:before="0" w:beforeAutospacing="0" w:after="40" w:afterAutospacing="0"/>
            </w:pPr>
            <w:r>
              <w:rPr>
                <w:rFonts w:ascii="Aptos" w:hAnsi="Aptos"/>
                <w:color w:val="000000"/>
                <w:sz w:val="22"/>
                <w:szCs w:val="22"/>
              </w:rPr>
              <w:t>3_3_Presentazione – Sessioni pratiche</w:t>
            </w:r>
          </w:p>
          <w:p w14:paraId="2B03882A" w14:textId="2B70B265" w:rsidR="00700083" w:rsidRPr="00051F12" w:rsidRDefault="00700083" w:rsidP="00700083">
            <w:pPr>
              <w:spacing w:after="40"/>
              <w:rPr>
                <w:rFonts w:ascii="Aptos" w:hAnsi="Aptos"/>
                <w:lang w:val="de-DE"/>
              </w:rPr>
            </w:pPr>
            <w:r>
              <w:rPr>
                <w:rFonts w:ascii="Aptos" w:hAnsi="Aptos"/>
                <w:color w:val="000000"/>
              </w:rPr>
              <w:t>3_4_Sessione pratica di esercizi</w:t>
            </w:r>
          </w:p>
        </w:tc>
        <w:tc>
          <w:tcPr>
            <w:tcW w:w="7229" w:type="dxa"/>
            <w:tcBorders>
              <w:top w:val="single" w:sz="4" w:space="0" w:color="000000"/>
              <w:left w:val="single" w:sz="4" w:space="0" w:color="000000"/>
              <w:bottom w:val="single" w:sz="4" w:space="0" w:color="000000"/>
              <w:right w:val="single" w:sz="4" w:space="0" w:color="000000"/>
            </w:tcBorders>
          </w:tcPr>
          <w:p w14:paraId="34CDECCB" w14:textId="77777777" w:rsidR="00700083" w:rsidRDefault="00700083" w:rsidP="00700083">
            <w:pPr>
              <w:pStyle w:val="StandardWeb"/>
              <w:spacing w:before="0" w:beforeAutospacing="0" w:after="160" w:afterAutospacing="0"/>
            </w:pPr>
            <w:r>
              <w:rPr>
                <w:rFonts w:ascii="Aptos" w:hAnsi="Aptos"/>
                <w:i/>
                <w:iCs/>
                <w:color w:val="000000"/>
                <w:sz w:val="22"/>
                <w:szCs w:val="22"/>
              </w:rPr>
              <w:t>Vedi documento 3_3 Presentazione - Sessioni pratiche. I partecipanti sviluppano una mini-sessione di formazione individualmente o in coppia utilizzando le conoscenze acquisite durante il corso. Successivamente, tengono la mini-sessione. A causa dei limiti di tempo, si tratterà probabilmente più di una presentazione del loro concetto che di una vera e propria sessione. Segue il feedback degli altri partecipanti.</w:t>
            </w:r>
          </w:p>
          <w:p w14:paraId="5B01E69C" w14:textId="77777777" w:rsidR="00700083" w:rsidRDefault="00700083" w:rsidP="00700083">
            <w:pPr>
              <w:pStyle w:val="StandardWeb"/>
              <w:spacing w:before="0" w:beforeAutospacing="0" w:after="160" w:afterAutospacing="0"/>
            </w:pPr>
            <w:r>
              <w:rPr>
                <w:rFonts w:ascii="Aptos" w:hAnsi="Aptos"/>
                <w:i/>
                <w:iCs/>
                <w:color w:val="000000"/>
                <w:sz w:val="22"/>
                <w:szCs w:val="22"/>
              </w:rPr>
              <w:lastRenderedPageBreak/>
              <w:t>Nel documento 3_4_Sessione pratica di esercitazione sono riportati alcuni esempi di argomenti, ma i partecipanti possono scegliere i propri contenuti.</w:t>
            </w:r>
          </w:p>
          <w:p w14:paraId="72F8D7B8" w14:textId="77777777" w:rsidR="00700083" w:rsidRDefault="00700083" w:rsidP="00700083">
            <w:pPr>
              <w:pStyle w:val="StandardWeb"/>
              <w:spacing w:before="0" w:beforeAutospacing="0" w:after="160" w:afterAutospacing="0"/>
            </w:pPr>
            <w:r>
              <w:rPr>
                <w:rFonts w:ascii="Aptos" w:hAnsi="Aptos"/>
                <w:b/>
                <w:bCs/>
                <w:color w:val="000000"/>
                <w:sz w:val="22"/>
                <w:szCs w:val="22"/>
              </w:rPr>
              <w:t>Obiettivi:</w:t>
            </w:r>
          </w:p>
          <w:p w14:paraId="4F78A102" w14:textId="77777777" w:rsidR="00700083" w:rsidRDefault="00700083" w:rsidP="00700083">
            <w:pPr>
              <w:pStyle w:val="StandardWeb"/>
              <w:numPr>
                <w:ilvl w:val="0"/>
                <w:numId w:val="49"/>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Dare ai partecipanti l'opportunità di mettere in pratica ciò che hanno imparato progettando e presentando una mini sessione di formazione, individualmente o in coppia.</w:t>
            </w:r>
          </w:p>
          <w:p w14:paraId="61C5AA9B" w14:textId="77777777" w:rsidR="00700083" w:rsidRDefault="00700083" w:rsidP="00700083">
            <w:pPr>
              <w:pStyle w:val="StandardWeb"/>
              <w:numPr>
                <w:ilvl w:val="0"/>
                <w:numId w:val="49"/>
              </w:numPr>
              <w:spacing w:before="0" w:beforeAutospacing="0" w:after="0" w:afterAutospacing="0"/>
              <w:ind w:left="360"/>
              <w:textAlignment w:val="baseline"/>
              <w:rPr>
                <w:rFonts w:ascii="Aptos" w:hAnsi="Aptos"/>
                <w:color w:val="000000"/>
                <w:sz w:val="22"/>
                <w:szCs w:val="22"/>
              </w:rPr>
            </w:pPr>
            <w:r>
              <w:rPr>
                <w:rFonts w:ascii="Aptos" w:hAnsi="Aptos"/>
                <w:color w:val="000000"/>
                <w:sz w:val="22"/>
                <w:szCs w:val="22"/>
              </w:rPr>
              <w:t>Rafforzare la fiducia nel trasmettere contenuti formativi e nel strutturare una sessione in modo efficace per un pubblico locale.</w:t>
            </w:r>
          </w:p>
          <w:p w14:paraId="447058B0" w14:textId="772EF730" w:rsidR="00700083" w:rsidRPr="00051F12" w:rsidRDefault="00700083" w:rsidP="00700083">
            <w:pPr>
              <w:pStyle w:val="Listenabsatz"/>
              <w:numPr>
                <w:ilvl w:val="0"/>
                <w:numId w:val="27"/>
              </w:numPr>
              <w:pBdr>
                <w:top w:val="nil"/>
                <w:left w:val="nil"/>
                <w:bottom w:val="nil"/>
                <w:right w:val="nil"/>
                <w:between w:val="nil"/>
              </w:pBdr>
              <w:spacing w:line="240" w:lineRule="auto"/>
              <w:rPr>
                <w:rFonts w:ascii="Aptos" w:eastAsia="Times New Roman" w:hAnsi="Aptos" w:cs="Times New Roman"/>
                <w:color w:val="000000"/>
                <w:lang w:val="de-DE"/>
              </w:rPr>
            </w:pPr>
            <w:r>
              <w:rPr>
                <w:rFonts w:ascii="Aptos" w:hAnsi="Aptos"/>
                <w:color w:val="000000"/>
              </w:rPr>
              <w:t>Promuovere l'apprendimento costruttivo tra pari attraverso un feedback strutturato, consentendo ai partecipanti di affinare il loro approccio e le loro capacità di presentazione.</w:t>
            </w:r>
          </w:p>
        </w:tc>
      </w:tr>
      <w:tr w:rsidR="00700083" w:rsidRPr="00051F12" w14:paraId="06A3AA6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665F2" w14:textId="2BBC250D" w:rsidR="00700083" w:rsidRPr="00051F12" w:rsidRDefault="00700083" w:rsidP="00700083">
            <w:pPr>
              <w:spacing w:after="40"/>
              <w:rPr>
                <w:rFonts w:ascii="Aptos" w:hAnsi="Aptos"/>
                <w:highlight w:val="yellow"/>
                <w:lang w:val="de-DE"/>
              </w:rPr>
            </w:pPr>
            <w:r>
              <w:rPr>
                <w:rFonts w:ascii="Aptos" w:hAnsi="Aptos"/>
                <w:color w:val="000000"/>
              </w:rPr>
              <w:lastRenderedPageBreak/>
              <w:t>30 min</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17933" w14:textId="77777777" w:rsidR="00700083" w:rsidRDefault="00700083" w:rsidP="00700083">
            <w:pPr>
              <w:pStyle w:val="StandardWeb"/>
              <w:spacing w:before="0" w:beforeAutospacing="0" w:after="40" w:afterAutospacing="0"/>
            </w:pPr>
            <w:r>
              <w:rPr>
                <w:rFonts w:ascii="Aptos" w:hAnsi="Aptos"/>
                <w:b/>
                <w:bCs/>
                <w:color w:val="000000"/>
                <w:sz w:val="22"/>
                <w:szCs w:val="22"/>
              </w:rPr>
              <w:t>Conclusione / Prossimi passi</w:t>
            </w:r>
          </w:p>
          <w:p w14:paraId="3FC385A6" w14:textId="77777777" w:rsidR="00700083" w:rsidRDefault="00700083" w:rsidP="00700083">
            <w:pPr>
              <w:pStyle w:val="StandardWeb"/>
              <w:numPr>
                <w:ilvl w:val="0"/>
                <w:numId w:val="50"/>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Attestato di completamento</w:t>
            </w:r>
          </w:p>
          <w:p w14:paraId="4AEB0F57" w14:textId="77777777" w:rsidR="00700083" w:rsidRDefault="00700083" w:rsidP="00700083">
            <w:pPr>
              <w:pStyle w:val="StandardWeb"/>
              <w:numPr>
                <w:ilvl w:val="0"/>
                <w:numId w:val="50"/>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Accesso a kit di strumenti, linee di assistenza o comunità di pratica</w:t>
            </w:r>
          </w:p>
          <w:p w14:paraId="38FD811D" w14:textId="36B854DF" w:rsidR="00700083" w:rsidRPr="00051F12" w:rsidRDefault="00700083" w:rsidP="00700083">
            <w:pPr>
              <w:numPr>
                <w:ilvl w:val="0"/>
                <w:numId w:val="6"/>
              </w:numPr>
              <w:spacing w:after="40"/>
              <w:rPr>
                <w:rFonts w:ascii="Aptos" w:hAnsi="Aptos"/>
                <w:lang w:val="de-DE"/>
              </w:rPr>
            </w:pPr>
            <w:r>
              <w:rPr>
                <w:rFonts w:ascii="Aptos" w:hAnsi="Aptos"/>
                <w:color w:val="000000"/>
              </w:rPr>
              <w:t>Dichiarazioni di impegno / piano d'azione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EF872" w14:textId="11A9E6AE" w:rsidR="00700083" w:rsidRPr="00051F12" w:rsidRDefault="00700083" w:rsidP="00700083">
            <w:pPr>
              <w:spacing w:after="40"/>
              <w:rPr>
                <w:rFonts w:ascii="Aptos" w:hAnsi="Aptos"/>
                <w:lang w:val="de-DE"/>
              </w:rPr>
            </w:pPr>
            <w:r>
              <w:rPr>
                <w:rFonts w:ascii="Aptos" w:hAnsi="Aptos"/>
                <w:color w:val="000000"/>
              </w:rPr>
              <w:t>/</w:t>
            </w:r>
          </w:p>
        </w:tc>
        <w:tc>
          <w:tcPr>
            <w:tcW w:w="7229" w:type="dxa"/>
            <w:tcBorders>
              <w:top w:val="single" w:sz="4" w:space="0" w:color="000000"/>
              <w:left w:val="single" w:sz="4" w:space="0" w:color="000000"/>
              <w:bottom w:val="single" w:sz="4" w:space="0" w:color="000000"/>
              <w:right w:val="single" w:sz="4" w:space="0" w:color="000000"/>
            </w:tcBorders>
          </w:tcPr>
          <w:p w14:paraId="23A91505" w14:textId="77777777" w:rsidR="00700083" w:rsidRDefault="00700083" w:rsidP="00700083">
            <w:pPr>
              <w:pStyle w:val="StandardWeb"/>
              <w:spacing w:before="0" w:beforeAutospacing="0" w:after="160" w:afterAutospacing="0"/>
            </w:pPr>
            <w:r>
              <w:rPr>
                <w:rFonts w:ascii="Aptos" w:hAnsi="Aptos"/>
                <w:i/>
                <w:iCs/>
                <w:color w:val="000000"/>
                <w:sz w:val="22"/>
                <w:szCs w:val="22"/>
              </w:rPr>
              <w:t>Questo è solo uno spunto senza modelli o materiale. Potresti voler fornire un certificato e qualche tipo di dispensa che includa le fonti di informazione.</w:t>
            </w:r>
          </w:p>
          <w:p w14:paraId="6AB6ECB4" w14:textId="28983783" w:rsidR="00700083" w:rsidRPr="00051F12" w:rsidRDefault="00700083" w:rsidP="00700083">
            <w:pPr>
              <w:pBdr>
                <w:top w:val="nil"/>
                <w:left w:val="nil"/>
                <w:bottom w:val="nil"/>
                <w:right w:val="nil"/>
                <w:between w:val="nil"/>
              </w:pBdr>
              <w:spacing w:line="240" w:lineRule="auto"/>
              <w:rPr>
                <w:rFonts w:ascii="Aptos" w:eastAsia="Times New Roman" w:hAnsi="Aptos" w:cs="Times New Roman"/>
                <w:color w:val="000000"/>
                <w:lang w:val="de-DE"/>
              </w:rPr>
            </w:pPr>
            <w:r>
              <w:rPr>
                <w:rFonts w:ascii="Aptos" w:hAnsi="Aptos"/>
                <w:i/>
                <w:iCs/>
                <w:color w:val="000000"/>
              </w:rPr>
              <w:t>Questa potrebbe anche essere un'occasione per discutere su come ottenere un impegno da parte del comune e iniziare a pianificare le azioni.</w:t>
            </w:r>
          </w:p>
        </w:tc>
      </w:tr>
    </w:tbl>
    <w:p w14:paraId="4FCE0D29" w14:textId="77777777" w:rsidR="00D118F5" w:rsidRPr="00051F12" w:rsidRDefault="00D118F5" w:rsidP="00D118F5">
      <w:pPr>
        <w:spacing w:after="40"/>
        <w:rPr>
          <w:rFonts w:ascii="Aptos" w:hAnsi="Aptos"/>
          <w:lang w:val="de-DE"/>
        </w:rPr>
      </w:pPr>
    </w:p>
    <w:p w14:paraId="65DFD101" w14:textId="7A1BD289" w:rsidR="00EA7BDD" w:rsidRPr="00051F12" w:rsidRDefault="00EA7BDD" w:rsidP="009D5F0A">
      <w:pPr>
        <w:rPr>
          <w:lang w:val="de-DE"/>
        </w:rPr>
      </w:pPr>
    </w:p>
    <w:sectPr w:rsidR="00EA7BDD" w:rsidRPr="00051F12" w:rsidSect="00801422">
      <w:headerReference w:type="default" r:id="rId8"/>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46A0" w14:textId="77777777" w:rsidR="00A972CE" w:rsidRDefault="00A972CE" w:rsidP="009D5F0A">
      <w:r>
        <w:separator/>
      </w:r>
    </w:p>
  </w:endnote>
  <w:endnote w:type="continuationSeparator" w:id="0">
    <w:p w14:paraId="391DE681" w14:textId="77777777" w:rsidR="00A972CE" w:rsidRDefault="00A972CE" w:rsidP="009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altName w:val="Aptos Serif"/>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F7A8" w14:textId="05240A5A" w:rsidR="009D5F0A" w:rsidRPr="009D5F0A" w:rsidRDefault="00CF7D62" w:rsidP="009D5F0A">
    <w:pPr>
      <w:pStyle w:val="Fuzeile"/>
      <w:jc w:val="both"/>
      <w:rPr>
        <w:sz w:val="13"/>
        <w:szCs w:val="13"/>
        <w:lang w:val="en-US"/>
      </w:rPr>
    </w:pPr>
    <w:r>
      <w:rPr>
        <w:noProof/>
        <w:sz w:val="13"/>
        <w:szCs w:val="13"/>
        <w:lang w:val="en-US"/>
        <w14:ligatures w14:val="standardContextual"/>
      </w:rPr>
      <w:drawing>
        <wp:anchor distT="0" distB="0" distL="114300" distR="114300" simplePos="0" relativeHeight="251659264" behindDoc="1" locked="0" layoutInCell="1" allowOverlap="1" wp14:anchorId="236BB4EB" wp14:editId="4D68B47F">
          <wp:simplePos x="0" y="0"/>
          <wp:positionH relativeFrom="column">
            <wp:posOffset>3810</wp:posOffset>
          </wp:positionH>
          <wp:positionV relativeFrom="paragraph">
            <wp:posOffset>-393065</wp:posOffset>
          </wp:positionV>
          <wp:extent cx="2324100" cy="929640"/>
          <wp:effectExtent l="0" t="0" r="0" b="0"/>
          <wp:wrapTight wrapText="bothSides">
            <wp:wrapPolygon edited="0">
              <wp:start x="0" y="0"/>
              <wp:lineTo x="0" y="21246"/>
              <wp:lineTo x="21482" y="21246"/>
              <wp:lineTo x="21482" y="0"/>
              <wp:lineTo x="0" y="0"/>
            </wp:wrapPolygon>
          </wp:wrapTight>
          <wp:docPr id="883403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0393" name="Grafik 88340393"/>
                  <pic:cNvPicPr/>
                </pic:nvPicPr>
                <pic:blipFill>
                  <a:blip r:embed="rId1">
                    <a:extLst>
                      <a:ext uri="{28A0092B-C50C-407E-A947-70E740481C1C}">
                        <a14:useLocalDpi xmlns:a14="http://schemas.microsoft.com/office/drawing/2010/main" val="0"/>
                      </a:ext>
                    </a:extLst>
                  </a:blip>
                  <a:stretch>
                    <a:fillRect/>
                  </a:stretch>
                </pic:blipFill>
                <pic:spPr>
                  <a:xfrm>
                    <a:off x="0" y="0"/>
                    <a:ext cx="2324100" cy="9296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BCCA" w14:textId="77777777" w:rsidR="00A972CE" w:rsidRDefault="00A972CE" w:rsidP="009D5F0A">
      <w:r>
        <w:separator/>
      </w:r>
    </w:p>
  </w:footnote>
  <w:footnote w:type="continuationSeparator" w:id="0">
    <w:p w14:paraId="690148D4" w14:textId="77777777" w:rsidR="00A972CE" w:rsidRDefault="00A972CE" w:rsidP="009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CA06" w14:textId="1CBC76BE" w:rsidR="009D5F0A" w:rsidRDefault="009D5F0A">
    <w:pPr>
      <w:pStyle w:val="Kopfzeile"/>
    </w:pPr>
    <w:r>
      <w:rPr>
        <w:noProof/>
      </w:rPr>
      <w:drawing>
        <wp:anchor distT="0" distB="0" distL="114300" distR="114300" simplePos="0" relativeHeight="251658240" behindDoc="1" locked="0" layoutInCell="1" allowOverlap="1" wp14:anchorId="1F079A42" wp14:editId="52ADE26E">
          <wp:simplePos x="0" y="0"/>
          <wp:positionH relativeFrom="column">
            <wp:posOffset>8441055</wp:posOffset>
          </wp:positionH>
          <wp:positionV relativeFrom="paragraph">
            <wp:posOffset>-264795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E81"/>
    <w:multiLevelType w:val="multilevel"/>
    <w:tmpl w:val="EE9C8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5479DF"/>
    <w:multiLevelType w:val="multilevel"/>
    <w:tmpl w:val="77EAE8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CA156A"/>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1338C"/>
    <w:multiLevelType w:val="multilevel"/>
    <w:tmpl w:val="7AC0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37C2D"/>
    <w:multiLevelType w:val="multilevel"/>
    <w:tmpl w:val="5CA810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2D3F04"/>
    <w:multiLevelType w:val="multilevel"/>
    <w:tmpl w:val="8A3C9B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D0D5D7F"/>
    <w:multiLevelType w:val="multilevel"/>
    <w:tmpl w:val="1C44D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15A3E"/>
    <w:multiLevelType w:val="hybridMultilevel"/>
    <w:tmpl w:val="6C7C6A3C"/>
    <w:lvl w:ilvl="0" w:tplc="C99CD87E">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03B491A"/>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740A8"/>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66BB7"/>
    <w:multiLevelType w:val="hybridMultilevel"/>
    <w:tmpl w:val="46080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B669B9"/>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01265"/>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206A7"/>
    <w:multiLevelType w:val="multilevel"/>
    <w:tmpl w:val="BA2C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952885"/>
    <w:multiLevelType w:val="hybridMultilevel"/>
    <w:tmpl w:val="4B320D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6A478A8"/>
    <w:multiLevelType w:val="multilevel"/>
    <w:tmpl w:val="1F5C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F80AFD"/>
    <w:multiLevelType w:val="multilevel"/>
    <w:tmpl w:val="5B9E2E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8A42FB3"/>
    <w:multiLevelType w:val="multilevel"/>
    <w:tmpl w:val="5EEE6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CFF38AE"/>
    <w:multiLevelType w:val="multilevel"/>
    <w:tmpl w:val="4CCC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051952"/>
    <w:multiLevelType w:val="multilevel"/>
    <w:tmpl w:val="2BDA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04E2F"/>
    <w:multiLevelType w:val="hybridMultilevel"/>
    <w:tmpl w:val="2BB6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5F18A2"/>
    <w:multiLevelType w:val="multilevel"/>
    <w:tmpl w:val="45AAEB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22B2EA6"/>
    <w:multiLevelType w:val="multilevel"/>
    <w:tmpl w:val="8EEA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FF5533"/>
    <w:multiLevelType w:val="multilevel"/>
    <w:tmpl w:val="A102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AB10D7"/>
    <w:multiLevelType w:val="multilevel"/>
    <w:tmpl w:val="51EA09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D6860C9"/>
    <w:multiLevelType w:val="hybridMultilevel"/>
    <w:tmpl w:val="C1186BB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DB43E44"/>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46E00"/>
    <w:multiLevelType w:val="hybridMultilevel"/>
    <w:tmpl w:val="41A4BE92"/>
    <w:lvl w:ilvl="0" w:tplc="8242830E">
      <w:numFmt w:val="bullet"/>
      <w:lvlText w:val=""/>
      <w:lvlJc w:val="left"/>
      <w:pPr>
        <w:ind w:left="720" w:hanging="360"/>
      </w:pPr>
      <w:rPr>
        <w:rFonts w:ascii="Aptos" w:eastAsia="Calibri" w:hAnsi="Apto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A524F6"/>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170583"/>
    <w:multiLevelType w:val="hybridMultilevel"/>
    <w:tmpl w:val="6330B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4169A9"/>
    <w:multiLevelType w:val="hybridMultilevel"/>
    <w:tmpl w:val="7EA29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1927694"/>
    <w:multiLevelType w:val="hybridMultilevel"/>
    <w:tmpl w:val="C0A4D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19F6D4B"/>
    <w:multiLevelType w:val="hybridMultilevel"/>
    <w:tmpl w:val="3962E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26A3E29"/>
    <w:multiLevelType w:val="multilevel"/>
    <w:tmpl w:val="F886F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3C66F8B"/>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A31C94"/>
    <w:multiLevelType w:val="multilevel"/>
    <w:tmpl w:val="3D7E88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7185609"/>
    <w:multiLevelType w:val="hybridMultilevel"/>
    <w:tmpl w:val="DFF68F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9651628"/>
    <w:multiLevelType w:val="multilevel"/>
    <w:tmpl w:val="816462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CD14CFF"/>
    <w:multiLevelType w:val="multilevel"/>
    <w:tmpl w:val="107A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C647D"/>
    <w:multiLevelType w:val="multilevel"/>
    <w:tmpl w:val="C270F628"/>
    <w:lvl w:ilvl="0">
      <w:start w:val="1"/>
      <w:numFmt w:val="decimal"/>
      <w:lvlText w:val="%1."/>
      <w:lvlJc w:val="left"/>
      <w:pPr>
        <w:ind w:left="0" w:firstLine="0"/>
      </w:pPr>
    </w:lvl>
    <w:lvl w:ilvl="1">
      <w:start w:val="1"/>
      <w:numFmt w:val="bullet"/>
      <w:lvlText w:val="●"/>
      <w:lvlJc w:val="left"/>
      <w:pPr>
        <w:ind w:left="1352"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DF34E40"/>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42A62"/>
    <w:multiLevelType w:val="hybridMultilevel"/>
    <w:tmpl w:val="508A2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F83BD4"/>
    <w:multiLevelType w:val="multilevel"/>
    <w:tmpl w:val="EB28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A20D06"/>
    <w:multiLevelType w:val="multilevel"/>
    <w:tmpl w:val="AEAA57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2DC312D"/>
    <w:multiLevelType w:val="multilevel"/>
    <w:tmpl w:val="806E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3C2412"/>
    <w:multiLevelType w:val="hybridMultilevel"/>
    <w:tmpl w:val="FE943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5575B6E"/>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726128"/>
    <w:multiLevelType w:val="multilevel"/>
    <w:tmpl w:val="E3A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354CD8"/>
    <w:multiLevelType w:val="multilevel"/>
    <w:tmpl w:val="8C2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581868"/>
    <w:multiLevelType w:val="multilevel"/>
    <w:tmpl w:val="F52A12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2918323">
    <w:abstractNumId w:val="21"/>
  </w:num>
  <w:num w:numId="2" w16cid:durableId="1994405202">
    <w:abstractNumId w:val="49"/>
  </w:num>
  <w:num w:numId="3" w16cid:durableId="1619725650">
    <w:abstractNumId w:val="4"/>
  </w:num>
  <w:num w:numId="4" w16cid:durableId="550729967">
    <w:abstractNumId w:val="0"/>
  </w:num>
  <w:num w:numId="5" w16cid:durableId="970937057">
    <w:abstractNumId w:val="24"/>
  </w:num>
  <w:num w:numId="6" w16cid:durableId="1745832708">
    <w:abstractNumId w:val="16"/>
  </w:num>
  <w:num w:numId="7" w16cid:durableId="467163381">
    <w:abstractNumId w:val="5"/>
  </w:num>
  <w:num w:numId="8" w16cid:durableId="1630474304">
    <w:abstractNumId w:val="33"/>
  </w:num>
  <w:num w:numId="9" w16cid:durableId="1629386678">
    <w:abstractNumId w:val="1"/>
  </w:num>
  <w:num w:numId="10" w16cid:durableId="2093622374">
    <w:abstractNumId w:val="43"/>
  </w:num>
  <w:num w:numId="11" w16cid:durableId="640305129">
    <w:abstractNumId w:val="17"/>
  </w:num>
  <w:num w:numId="12" w16cid:durableId="211427930">
    <w:abstractNumId w:val="35"/>
  </w:num>
  <w:num w:numId="13" w16cid:durableId="162360314">
    <w:abstractNumId w:val="39"/>
  </w:num>
  <w:num w:numId="14" w16cid:durableId="78252942">
    <w:abstractNumId w:val="37"/>
  </w:num>
  <w:num w:numId="15" w16cid:durableId="2055428291">
    <w:abstractNumId w:val="15"/>
  </w:num>
  <w:num w:numId="16" w16cid:durableId="1560163300">
    <w:abstractNumId w:val="31"/>
  </w:num>
  <w:num w:numId="17" w16cid:durableId="714739393">
    <w:abstractNumId w:val="27"/>
  </w:num>
  <w:num w:numId="18" w16cid:durableId="1288976036">
    <w:abstractNumId w:val="25"/>
  </w:num>
  <w:num w:numId="19" w16cid:durableId="1167789992">
    <w:abstractNumId w:val="29"/>
  </w:num>
  <w:num w:numId="20" w16cid:durableId="1916821302">
    <w:abstractNumId w:val="36"/>
  </w:num>
  <w:num w:numId="21" w16cid:durableId="1971016637">
    <w:abstractNumId w:val="14"/>
  </w:num>
  <w:num w:numId="22" w16cid:durableId="1655379940">
    <w:abstractNumId w:val="20"/>
  </w:num>
  <w:num w:numId="23" w16cid:durableId="1715229989">
    <w:abstractNumId w:val="10"/>
  </w:num>
  <w:num w:numId="24" w16cid:durableId="534656729">
    <w:abstractNumId w:val="45"/>
  </w:num>
  <w:num w:numId="25" w16cid:durableId="1647857451">
    <w:abstractNumId w:val="41"/>
  </w:num>
  <w:num w:numId="26" w16cid:durableId="1348555076">
    <w:abstractNumId w:val="30"/>
  </w:num>
  <w:num w:numId="27" w16cid:durableId="1523471234">
    <w:abstractNumId w:val="32"/>
  </w:num>
  <w:num w:numId="28" w16cid:durableId="1428958977">
    <w:abstractNumId w:val="23"/>
  </w:num>
  <w:num w:numId="29" w16cid:durableId="1318992035">
    <w:abstractNumId w:val="6"/>
  </w:num>
  <w:num w:numId="30" w16cid:durableId="1177421015">
    <w:abstractNumId w:val="2"/>
  </w:num>
  <w:num w:numId="31" w16cid:durableId="161895830">
    <w:abstractNumId w:val="18"/>
  </w:num>
  <w:num w:numId="32" w16cid:durableId="925532081">
    <w:abstractNumId w:val="8"/>
  </w:num>
  <w:num w:numId="33" w16cid:durableId="659161425">
    <w:abstractNumId w:val="44"/>
  </w:num>
  <w:num w:numId="34" w16cid:durableId="843321583">
    <w:abstractNumId w:val="11"/>
  </w:num>
  <w:num w:numId="35" w16cid:durableId="1690060783">
    <w:abstractNumId w:val="19"/>
  </w:num>
  <w:num w:numId="36" w16cid:durableId="1039433082">
    <w:abstractNumId w:val="40"/>
  </w:num>
  <w:num w:numId="37" w16cid:durableId="32538436">
    <w:abstractNumId w:val="48"/>
  </w:num>
  <w:num w:numId="38" w16cid:durableId="1814517011">
    <w:abstractNumId w:val="12"/>
  </w:num>
  <w:num w:numId="39" w16cid:durableId="1740402970">
    <w:abstractNumId w:val="34"/>
  </w:num>
  <w:num w:numId="40" w16cid:durableId="128520756">
    <w:abstractNumId w:val="7"/>
  </w:num>
  <w:num w:numId="41" w16cid:durableId="682247892">
    <w:abstractNumId w:val="28"/>
  </w:num>
  <w:num w:numId="42" w16cid:durableId="411508372">
    <w:abstractNumId w:val="22"/>
  </w:num>
  <w:num w:numId="43" w16cid:durableId="90472038">
    <w:abstractNumId w:val="26"/>
  </w:num>
  <w:num w:numId="44" w16cid:durableId="1434548808">
    <w:abstractNumId w:val="42"/>
  </w:num>
  <w:num w:numId="45" w16cid:durableId="1610894386">
    <w:abstractNumId w:val="46"/>
  </w:num>
  <w:num w:numId="46" w16cid:durableId="1202325894">
    <w:abstractNumId w:val="38"/>
  </w:num>
  <w:num w:numId="47" w16cid:durableId="553392579">
    <w:abstractNumId w:val="9"/>
  </w:num>
  <w:num w:numId="48" w16cid:durableId="1499808424">
    <w:abstractNumId w:val="13"/>
  </w:num>
  <w:num w:numId="49" w16cid:durableId="2083090978">
    <w:abstractNumId w:val="47"/>
  </w:num>
  <w:num w:numId="50" w16cid:durableId="181150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F5"/>
    <w:rsid w:val="00051F12"/>
    <w:rsid w:val="000B1AC5"/>
    <w:rsid w:val="000C48D3"/>
    <w:rsid w:val="0011793C"/>
    <w:rsid w:val="0012036A"/>
    <w:rsid w:val="0017745E"/>
    <w:rsid w:val="00177C85"/>
    <w:rsid w:val="00286E98"/>
    <w:rsid w:val="002923AA"/>
    <w:rsid w:val="00295429"/>
    <w:rsid w:val="002C7A34"/>
    <w:rsid w:val="00300633"/>
    <w:rsid w:val="00353C12"/>
    <w:rsid w:val="00355F0A"/>
    <w:rsid w:val="00450DC5"/>
    <w:rsid w:val="00506342"/>
    <w:rsid w:val="00534173"/>
    <w:rsid w:val="005966AA"/>
    <w:rsid w:val="005B036F"/>
    <w:rsid w:val="005E2A44"/>
    <w:rsid w:val="00647FB1"/>
    <w:rsid w:val="00661572"/>
    <w:rsid w:val="006A7406"/>
    <w:rsid w:val="006C3607"/>
    <w:rsid w:val="006D35BD"/>
    <w:rsid w:val="006F5150"/>
    <w:rsid w:val="00700083"/>
    <w:rsid w:val="007026D1"/>
    <w:rsid w:val="007418DC"/>
    <w:rsid w:val="007711CC"/>
    <w:rsid w:val="00801276"/>
    <w:rsid w:val="00801422"/>
    <w:rsid w:val="00804EDF"/>
    <w:rsid w:val="00831FB0"/>
    <w:rsid w:val="00842E94"/>
    <w:rsid w:val="00845044"/>
    <w:rsid w:val="00907227"/>
    <w:rsid w:val="00932E4A"/>
    <w:rsid w:val="009C3DE8"/>
    <w:rsid w:val="009D317D"/>
    <w:rsid w:val="009D5F0A"/>
    <w:rsid w:val="009E09A6"/>
    <w:rsid w:val="009E4714"/>
    <w:rsid w:val="00A03BA3"/>
    <w:rsid w:val="00A1405C"/>
    <w:rsid w:val="00A972CE"/>
    <w:rsid w:val="00B116F0"/>
    <w:rsid w:val="00B57C35"/>
    <w:rsid w:val="00C12D55"/>
    <w:rsid w:val="00C54988"/>
    <w:rsid w:val="00CB3455"/>
    <w:rsid w:val="00CB4D69"/>
    <w:rsid w:val="00CF7D62"/>
    <w:rsid w:val="00D118F5"/>
    <w:rsid w:val="00D145CE"/>
    <w:rsid w:val="00D261CE"/>
    <w:rsid w:val="00D26E8E"/>
    <w:rsid w:val="00D43E38"/>
    <w:rsid w:val="00D55EC8"/>
    <w:rsid w:val="00D67584"/>
    <w:rsid w:val="00D966C3"/>
    <w:rsid w:val="00DB6810"/>
    <w:rsid w:val="00E72547"/>
    <w:rsid w:val="00E81A62"/>
    <w:rsid w:val="00EA7BDD"/>
    <w:rsid w:val="00FA0A4A"/>
    <w:rsid w:val="00FD7264"/>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FA93"/>
  <w15:chartTrackingRefBased/>
  <w15:docId w15:val="{2686FCF2-522E-4D1F-B6B9-2F810521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8F5"/>
    <w:pPr>
      <w:spacing w:after="160" w:line="259" w:lineRule="auto"/>
    </w:pPr>
    <w:rPr>
      <w:rFonts w:ascii="Calibri" w:eastAsia="Calibri" w:hAnsi="Calibri" w:cs="Calibri"/>
      <w:kern w:val="0"/>
      <w:sz w:val="22"/>
      <w:szCs w:val="22"/>
      <w:lang w:val="en-GB" w:eastAsia="de-DE" w:bidi="ne-NP"/>
      <w14:ligatures w14:val="none"/>
    </w:rPr>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 w:type="character" w:styleId="Hyperlink">
    <w:name w:val="Hyperlink"/>
    <w:basedOn w:val="Absatz-Standardschriftart"/>
    <w:uiPriority w:val="99"/>
    <w:unhideWhenUsed/>
    <w:rsid w:val="00D118F5"/>
    <w:rPr>
      <w:color w:val="467886" w:themeColor="hyperlink"/>
      <w:u w:val="single"/>
    </w:rPr>
  </w:style>
  <w:style w:type="character" w:styleId="NichtaufgelsteErwhnung">
    <w:name w:val="Unresolved Mention"/>
    <w:basedOn w:val="Absatz-Standardschriftart"/>
    <w:uiPriority w:val="99"/>
    <w:semiHidden/>
    <w:unhideWhenUsed/>
    <w:rsid w:val="00D118F5"/>
    <w:rPr>
      <w:color w:val="605E5C"/>
      <w:shd w:val="clear" w:color="auto" w:fill="E1DFDD"/>
    </w:rPr>
  </w:style>
  <w:style w:type="character" w:styleId="Kommentarzeichen">
    <w:name w:val="annotation reference"/>
    <w:basedOn w:val="Absatz-Standardschriftart"/>
    <w:uiPriority w:val="99"/>
    <w:semiHidden/>
    <w:unhideWhenUsed/>
    <w:rsid w:val="00D118F5"/>
    <w:rPr>
      <w:sz w:val="16"/>
      <w:szCs w:val="16"/>
    </w:rPr>
  </w:style>
  <w:style w:type="paragraph" w:styleId="Kommentartext">
    <w:name w:val="annotation text"/>
    <w:basedOn w:val="Standard"/>
    <w:link w:val="KommentartextZchn"/>
    <w:uiPriority w:val="99"/>
    <w:unhideWhenUsed/>
    <w:rsid w:val="00506342"/>
    <w:pPr>
      <w:spacing w:line="240" w:lineRule="auto"/>
    </w:pPr>
    <w:rPr>
      <w:sz w:val="20"/>
      <w:szCs w:val="18"/>
    </w:rPr>
  </w:style>
  <w:style w:type="character" w:customStyle="1" w:styleId="KommentartextZchn">
    <w:name w:val="Kommentartext Zchn"/>
    <w:basedOn w:val="Absatz-Standardschriftart"/>
    <w:link w:val="Kommentartext"/>
    <w:uiPriority w:val="99"/>
    <w:rsid w:val="00506342"/>
    <w:rPr>
      <w:rFonts w:ascii="Calibri" w:eastAsia="Calibri" w:hAnsi="Calibri" w:cs="Calibri"/>
      <w:kern w:val="0"/>
      <w:sz w:val="20"/>
      <w:szCs w:val="18"/>
      <w:lang w:val="en-GB" w:eastAsia="de-DE" w:bidi="ne-NP"/>
      <w14:ligatures w14:val="none"/>
    </w:rPr>
  </w:style>
  <w:style w:type="paragraph" w:styleId="Kommentarthema">
    <w:name w:val="annotation subject"/>
    <w:basedOn w:val="Kommentartext"/>
    <w:next w:val="Kommentartext"/>
    <w:link w:val="KommentarthemaZchn"/>
    <w:uiPriority w:val="99"/>
    <w:semiHidden/>
    <w:unhideWhenUsed/>
    <w:rsid w:val="00506342"/>
    <w:rPr>
      <w:b/>
      <w:bCs/>
    </w:rPr>
  </w:style>
  <w:style w:type="character" w:customStyle="1" w:styleId="KommentarthemaZchn">
    <w:name w:val="Kommentarthema Zchn"/>
    <w:basedOn w:val="KommentartextZchn"/>
    <w:link w:val="Kommentarthema"/>
    <w:uiPriority w:val="99"/>
    <w:semiHidden/>
    <w:rsid w:val="00506342"/>
    <w:rPr>
      <w:rFonts w:ascii="Calibri" w:eastAsia="Calibri" w:hAnsi="Calibri" w:cs="Calibri"/>
      <w:b/>
      <w:bCs/>
      <w:kern w:val="0"/>
      <w:sz w:val="20"/>
      <w:szCs w:val="18"/>
      <w:lang w:val="en-GB" w:eastAsia="de-DE" w:bidi="ne-NP"/>
      <w14:ligatures w14:val="none"/>
    </w:rPr>
  </w:style>
  <w:style w:type="paragraph" w:styleId="StandardWeb">
    <w:name w:val="Normal (Web)"/>
    <w:basedOn w:val="Standard"/>
    <w:uiPriority w:val="99"/>
    <w:semiHidden/>
    <w:unhideWhenUsed/>
    <w:rsid w:val="00700083"/>
    <w:pPr>
      <w:spacing w:before="100" w:beforeAutospacing="1" w:after="100" w:afterAutospacing="1" w:line="240" w:lineRule="auto"/>
    </w:pPr>
    <w:rPr>
      <w:rFonts w:ascii="Times New Roman" w:eastAsia="Times New Roman" w:hAnsi="Times New Roman" w:cs="Times New Roman"/>
      <w:sz w:val="24"/>
      <w:szCs w:val="24"/>
      <w:lang w:val="de-DE" w:bidi="ar-SA"/>
    </w:rPr>
  </w:style>
  <w:style w:type="character" w:styleId="BesuchterLink">
    <w:name w:val="FollowedHyperlink"/>
    <w:basedOn w:val="Absatz-Standardschriftart"/>
    <w:uiPriority w:val="99"/>
    <w:semiHidden/>
    <w:unhideWhenUsed/>
    <w:rsid w:val="008450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gado\proCURE_Word_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41B9-9E45-054D-A861-1C929A5B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D:\agado\proCURE_Word_template.dotx</Template>
  <TotalTime>0</TotalTime>
  <Pages>9</Pages>
  <Words>2062</Words>
  <Characters>14600</Characters>
  <Application>Microsoft Office Word</Application>
  <DocSecurity>0</DocSecurity>
  <Lines>275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docId:53EE603E0CAAACCFE6F91188B0F157C0</cp:keywords>
  <dc:description/>
  <cp:lastModifiedBy>Maya Knevels</cp:lastModifiedBy>
  <cp:revision>4</cp:revision>
  <dcterms:created xsi:type="dcterms:W3CDTF">2026-04-29T12:33:00Z</dcterms:created>
  <dcterms:modified xsi:type="dcterms:W3CDTF">2026-04-30T13:41:00Z</dcterms:modified>
</cp:coreProperties>
</file>