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82B50" w14:textId="77777777" w:rsidR="0089182E" w:rsidRDefault="00000000">
      <w:pPr>
        <w:pStyle w:val="berschrift1"/>
        <w:rPr>
          <w:rFonts w:ascii="Aptos Serif" w:eastAsia="Aptos Serif" w:hAnsi="Aptos Serif" w:cs="Aptos Serif"/>
        </w:rPr>
      </w:pPr>
      <w:r>
        <w:rPr>
          <w:rFonts w:ascii="Aptos Serif" w:eastAsia="Aptos Serif" w:hAnsi="Aptos Serif" w:cs="Aptos Serif"/>
        </w:rPr>
        <w:t xml:space="preserve">Modulo di esercitazione </w:t>
      </w:r>
      <w:proofErr w:type="gramStart"/>
      <w:r>
        <w:rPr>
          <w:rFonts w:ascii="Aptos Serif" w:eastAsia="Aptos Serif" w:hAnsi="Aptos Serif" w:cs="Aptos Serif"/>
        </w:rPr>
        <w:t>2</w:t>
      </w:r>
      <w:proofErr w:type="gramEnd"/>
      <w:r>
        <w:rPr>
          <w:rFonts w:ascii="Aptos Serif" w:eastAsia="Aptos Serif" w:hAnsi="Aptos Serif" w:cs="Aptos Serif"/>
        </w:rPr>
        <w:t xml:space="preserve"> Quadro giuridico: </w:t>
      </w:r>
    </w:p>
    <w:p w14:paraId="12124DF8" w14:textId="77777777" w:rsidR="0089182E" w:rsidRPr="00CF79CE" w:rsidRDefault="00000000">
      <w:pPr>
        <w:pStyle w:val="berschrift2"/>
        <w:rPr>
          <w:rFonts w:ascii="Aptos" w:hAnsi="Aptos"/>
        </w:rPr>
      </w:pPr>
      <w:r w:rsidRPr="00CF79CE">
        <w:rPr>
          <w:rFonts w:ascii="Aptos" w:hAnsi="Aptos"/>
        </w:rPr>
        <w:t>Simulazione di un caso di studio sull’appalto sostenibile</w:t>
      </w:r>
    </w:p>
    <w:p w14:paraId="6345D585" w14:textId="77777777" w:rsidR="0089182E" w:rsidRDefault="0089182E">
      <w:pPr>
        <w:rPr>
          <w:b/>
          <w:bCs/>
        </w:rPr>
      </w:pPr>
    </w:p>
    <w:p w14:paraId="091D3286" w14:textId="77777777" w:rsidR="0089182E" w:rsidRDefault="00000000">
      <w:r>
        <w:rPr>
          <w:b/>
          <w:bCs/>
        </w:rPr>
        <w:t>Obiettivo</w:t>
      </w:r>
      <w:r>
        <w:t>:</w:t>
      </w:r>
      <w:r>
        <w:br/>
        <w:t>Comprensione del quadro giuridico per gli appalti sostenibili, compreso il rispetto delle normative (ad es. direttive UE) e l’attuazione dei criteri per gli appalti pubblici sostenibili in un contratto.</w:t>
      </w:r>
    </w:p>
    <w:p w14:paraId="4028050A" w14:textId="77777777" w:rsidR="0089182E" w:rsidRDefault="0089182E">
      <w:pPr>
        <w:rPr>
          <w:b/>
          <w:bCs/>
        </w:rPr>
      </w:pPr>
    </w:p>
    <w:p w14:paraId="5A56199D" w14:textId="77777777" w:rsidR="0089182E" w:rsidRDefault="00000000">
      <w:r>
        <w:rPr>
          <w:b/>
          <w:bCs/>
        </w:rPr>
        <w:t>Scenario</w:t>
      </w:r>
      <w:r>
        <w:t>:</w:t>
      </w:r>
      <w:r>
        <w:br/>
        <w:t>Alle persone partecipanti viene presentato un caso di appalto dettagliato (ad esempio un progetto del settore pubblico come la costruzione di un edificio adibito a uffici o l’appalto di servizi IT) in cui la sostenibilità è un requisito fondamentale. Il caso dovrebbe mettere in evidenza specifici obiettivi ambientali e sociali (ad esempio riduzione dell’impronta di carbonio, utilizzo di materiali sostenibili, garanzia di pratiche di lavoro eque).</w:t>
      </w:r>
    </w:p>
    <w:p w14:paraId="342172BA" w14:textId="77777777" w:rsidR="0089182E" w:rsidRDefault="0089182E">
      <w:pPr>
        <w:rPr>
          <w:b/>
          <w:bCs/>
        </w:rPr>
      </w:pPr>
    </w:p>
    <w:p w14:paraId="023B297C" w14:textId="77777777" w:rsidR="0089182E" w:rsidRDefault="00000000">
      <w:pPr>
        <w:rPr>
          <w:b/>
          <w:bCs/>
        </w:rPr>
      </w:pPr>
      <w:r>
        <w:rPr>
          <w:b/>
          <w:bCs/>
        </w:rPr>
        <w:t>Fasi dell’esercizio:</w:t>
      </w:r>
    </w:p>
    <w:p w14:paraId="32B31A58" w14:textId="77777777" w:rsidR="0089182E" w:rsidRDefault="00000000">
      <w:pPr>
        <w:numPr>
          <w:ilvl w:val="0"/>
          <w:numId w:val="1"/>
        </w:numPr>
      </w:pPr>
      <w:r>
        <w:rPr>
          <w:b/>
          <w:bCs/>
        </w:rPr>
        <w:t>Distribuzione dei casi</w:t>
      </w:r>
      <w:r>
        <w:t>:</w:t>
      </w:r>
      <w:r>
        <w:br/>
        <w:t>Fornite un caso di appalto fittizio che includa quanto segue (possibili scenari sono riportati di seguito):</w:t>
      </w:r>
    </w:p>
    <w:p w14:paraId="1C066077" w14:textId="77777777" w:rsidR="0089182E" w:rsidRDefault="00000000">
      <w:pPr>
        <w:numPr>
          <w:ilvl w:val="1"/>
          <w:numId w:val="1"/>
        </w:numPr>
      </w:pPr>
      <w:r>
        <w:rPr>
          <w:b/>
          <w:bCs/>
        </w:rPr>
        <w:t xml:space="preserve">Informazioni di base </w:t>
      </w:r>
      <w:r>
        <w:t>sull’organizzazione, l’ambito del progetto e gli obiettivi.</w:t>
      </w:r>
    </w:p>
    <w:p w14:paraId="3BAF6C14" w14:textId="77777777" w:rsidR="0089182E" w:rsidRDefault="00000000">
      <w:pPr>
        <w:numPr>
          <w:ilvl w:val="1"/>
          <w:numId w:val="1"/>
        </w:numPr>
      </w:pPr>
      <w:r>
        <w:rPr>
          <w:b/>
          <w:bCs/>
        </w:rPr>
        <w:t xml:space="preserve">Requisiti di sostenibilità </w:t>
      </w:r>
      <w:r>
        <w:t>(ad es. criteri GPP come efficienza energetica, riduzione dei rifiuti).</w:t>
      </w:r>
    </w:p>
    <w:p w14:paraId="53D2139B" w14:textId="77777777" w:rsidR="0089182E" w:rsidRDefault="00000000">
      <w:pPr>
        <w:numPr>
          <w:ilvl w:val="1"/>
          <w:numId w:val="1"/>
        </w:numPr>
      </w:pPr>
      <w:r>
        <w:rPr>
          <w:b/>
          <w:bCs/>
        </w:rPr>
        <w:t xml:space="preserve">Requisiti legali </w:t>
      </w:r>
      <w:r>
        <w:t>(ad es. conformità alle direttive UE, alle leggi ambientali locali/nazionali, alle convenzioni internazionali).</w:t>
      </w:r>
    </w:p>
    <w:p w14:paraId="3D470111" w14:textId="77777777" w:rsidR="0089182E" w:rsidRDefault="00000000">
      <w:pPr>
        <w:numPr>
          <w:ilvl w:val="1"/>
          <w:numId w:val="1"/>
        </w:numPr>
      </w:pPr>
      <w:r>
        <w:rPr>
          <w:b/>
          <w:bCs/>
        </w:rPr>
        <w:t xml:space="preserve">Sfide </w:t>
      </w:r>
      <w:r>
        <w:t>(ad es. incertezza riguardo alle capacità di mercato, base di fornitori limitata o difficoltà nella definizione delle specifiche tecniche).</w:t>
      </w:r>
    </w:p>
    <w:p w14:paraId="6800C842" w14:textId="77777777" w:rsidR="0089182E" w:rsidRDefault="00000000">
      <w:pPr>
        <w:numPr>
          <w:ilvl w:val="0"/>
          <w:numId w:val="1"/>
        </w:numPr>
      </w:pPr>
      <w:r>
        <w:rPr>
          <w:b/>
          <w:bCs/>
        </w:rPr>
        <w:t>Distribuzione dei ruoli</w:t>
      </w:r>
      <w:r>
        <w:t>:</w:t>
      </w:r>
      <w:r>
        <w:br/>
        <w:t>Dividete le persone partecipanti in piccoli gruppi e assegnate loro ruoli quali responsabili degli acquisti, consulenti legali, esperti di sostenibilità o fornitori.</w:t>
      </w:r>
    </w:p>
    <w:p w14:paraId="010F7914" w14:textId="77777777" w:rsidR="0089182E" w:rsidRDefault="00000000">
      <w:pPr>
        <w:numPr>
          <w:ilvl w:val="0"/>
          <w:numId w:val="1"/>
        </w:numPr>
      </w:pPr>
      <w:r>
        <w:rPr>
          <w:b/>
          <w:bCs/>
        </w:rPr>
        <w:t>Ricerca e analisi</w:t>
      </w:r>
      <w:r>
        <w:t>:</w:t>
      </w:r>
      <w:r>
        <w:br/>
        <w:t>Ogni gruppo effettua ricerche per:</w:t>
      </w:r>
    </w:p>
    <w:p w14:paraId="49A4935C" w14:textId="77777777" w:rsidR="0089182E" w:rsidRDefault="00000000">
      <w:pPr>
        <w:numPr>
          <w:ilvl w:val="1"/>
          <w:numId w:val="1"/>
        </w:numPr>
      </w:pPr>
      <w:r>
        <w:t>analizzare il quadro giuridico per gli appalti sostenibili (ad es. direttiva UE sugli appalti pubblici, legislazione nazionale).</w:t>
      </w:r>
    </w:p>
    <w:p w14:paraId="49B618DF" w14:textId="77777777" w:rsidR="0089182E" w:rsidRDefault="00000000">
      <w:pPr>
        <w:numPr>
          <w:ilvl w:val="1"/>
          <w:numId w:val="1"/>
        </w:numPr>
      </w:pPr>
      <w:r>
        <w:t>valutare come i criteri di sostenibilità possano essere applicati nella procedura di gara.</w:t>
      </w:r>
    </w:p>
    <w:p w14:paraId="69E51041" w14:textId="77777777" w:rsidR="0089182E" w:rsidRDefault="00000000">
      <w:pPr>
        <w:numPr>
          <w:ilvl w:val="1"/>
          <w:numId w:val="1"/>
        </w:numPr>
      </w:pPr>
      <w:r>
        <w:t>identificare i rischi di non conformità e individuare le possibilità di ridurli.</w:t>
      </w:r>
    </w:p>
    <w:p w14:paraId="13AD8760" w14:textId="77777777" w:rsidR="0089182E" w:rsidRDefault="00000000">
      <w:pPr>
        <w:numPr>
          <w:ilvl w:val="1"/>
          <w:numId w:val="1"/>
        </w:numPr>
      </w:pPr>
      <w:r>
        <w:lastRenderedPageBreak/>
        <w:t>Esaminare le strategie di coinvolgimento del mercato per colmare le lacune di conoscenza.</w:t>
      </w:r>
    </w:p>
    <w:p w14:paraId="032F27B9" w14:textId="77777777" w:rsidR="0089182E" w:rsidRDefault="00000000">
      <w:pPr>
        <w:numPr>
          <w:ilvl w:val="0"/>
          <w:numId w:val="1"/>
        </w:numPr>
      </w:pPr>
      <w:r>
        <w:rPr>
          <w:b/>
          <w:bCs/>
        </w:rPr>
        <w:t>Sviluppo di una strategia di approvvigionamento</w:t>
      </w:r>
      <w:r>
        <w:t>:</w:t>
      </w:r>
      <w:r>
        <w:br/>
        <w:t>Ogni gruppo deve:</w:t>
      </w:r>
    </w:p>
    <w:p w14:paraId="4313A060" w14:textId="77777777" w:rsidR="0089182E" w:rsidRDefault="00000000">
      <w:pPr>
        <w:numPr>
          <w:ilvl w:val="1"/>
          <w:numId w:val="1"/>
        </w:numPr>
      </w:pPr>
      <w:r>
        <w:t>Decidere la procedura di approvvigionamento appropriata (procedura aperta, ristretta, competitiva, ecc.).</w:t>
      </w:r>
    </w:p>
    <w:p w14:paraId="62FC573F" w14:textId="77777777" w:rsidR="0089182E" w:rsidRDefault="00000000">
      <w:pPr>
        <w:numPr>
          <w:ilvl w:val="1"/>
          <w:numId w:val="1"/>
        </w:numPr>
      </w:pPr>
      <w:r>
        <w:t>Definire i termini del contratto per garantire il rispetto degli impegni di sostenibilità.</w:t>
      </w:r>
    </w:p>
    <w:p w14:paraId="05ABEA9A" w14:textId="77777777" w:rsidR="0089182E" w:rsidRDefault="00000000">
      <w:pPr>
        <w:numPr>
          <w:ilvl w:val="1"/>
          <w:numId w:val="1"/>
        </w:numPr>
      </w:pPr>
      <w:r>
        <w:t>Elaborare criteri di sostenibilità importanti da includere nei documenti di gara.</w:t>
      </w:r>
    </w:p>
    <w:p w14:paraId="2F53B9D6" w14:textId="77777777" w:rsidR="0089182E" w:rsidRDefault="00000000">
      <w:pPr>
        <w:numPr>
          <w:ilvl w:val="1"/>
          <w:numId w:val="1"/>
        </w:numPr>
      </w:pPr>
      <w:r>
        <w:t>Illustrare come garantire il rispetto del quadro normativo da parte degli offerenti (ad esempio, come verificare il rispetto delle leggi ambientali).</w:t>
      </w:r>
    </w:p>
    <w:p w14:paraId="3A0D20CF" w14:textId="77777777" w:rsidR="0089182E" w:rsidRDefault="00000000">
      <w:pPr>
        <w:numPr>
          <w:ilvl w:val="0"/>
          <w:numId w:val="1"/>
        </w:numPr>
      </w:pPr>
      <w:r>
        <w:rPr>
          <w:b/>
          <w:bCs/>
        </w:rPr>
        <w:t>Presentazione e discussione</w:t>
      </w:r>
      <w:r>
        <w:t>:</w:t>
      </w:r>
      <w:r>
        <w:br/>
        <w:t>Ogni gruppo presenta la propria strategia di approvvigionamento e il modo in cui garantirebbe il rispetto dei requisiti GPP. Ciò dovrebbe includere:</w:t>
      </w:r>
    </w:p>
    <w:p w14:paraId="24B0656A" w14:textId="77777777" w:rsidR="0089182E" w:rsidRDefault="00000000">
      <w:pPr>
        <w:numPr>
          <w:ilvl w:val="1"/>
          <w:numId w:val="1"/>
        </w:numPr>
      </w:pPr>
      <w:r>
        <w:t>La procedura di appalto scelta e la relativa motivazione.</w:t>
      </w:r>
    </w:p>
    <w:p w14:paraId="1E2F6089" w14:textId="77777777" w:rsidR="0089182E" w:rsidRDefault="00000000">
      <w:pPr>
        <w:numPr>
          <w:ilvl w:val="1"/>
          <w:numId w:val="1"/>
        </w:numPr>
      </w:pPr>
      <w:r>
        <w:t>Condizioni di sostenibilità e indicatori di prestazione importanti.</w:t>
      </w:r>
    </w:p>
    <w:p w14:paraId="1A97371F" w14:textId="77777777" w:rsidR="0089182E" w:rsidRDefault="00000000">
      <w:pPr>
        <w:numPr>
          <w:ilvl w:val="1"/>
          <w:numId w:val="1"/>
        </w:numPr>
      </w:pPr>
      <w:r>
        <w:t>Misure per garantire il rispetto dei requisiti legali (ad es. clausole contrattuali, valutazione dei soggetti che presentano offerte).</w:t>
      </w:r>
    </w:p>
    <w:p w14:paraId="362A6173" w14:textId="77777777" w:rsidR="0089182E" w:rsidRDefault="00000000">
      <w:pPr>
        <w:numPr>
          <w:ilvl w:val="0"/>
          <w:numId w:val="1"/>
        </w:numPr>
      </w:pPr>
      <w:r>
        <w:rPr>
          <w:b/>
          <w:bCs/>
        </w:rPr>
        <w:t>Discussione e riflessione</w:t>
      </w:r>
      <w:r>
        <w:t>:</w:t>
      </w:r>
      <w:r>
        <w:br/>
        <w:t>Dopo le presentazioni, conducete una discussione in classe sui seguenti argomenti:</w:t>
      </w:r>
    </w:p>
    <w:p w14:paraId="12E953AB" w14:textId="77777777" w:rsidR="0089182E" w:rsidRDefault="00000000">
      <w:pPr>
        <w:numPr>
          <w:ilvl w:val="1"/>
          <w:numId w:val="1"/>
        </w:numPr>
      </w:pPr>
      <w:r>
        <w:t>Sfide nel conciliare i requisiti legali e gli obiettivi di sostenibilità.</w:t>
      </w:r>
    </w:p>
    <w:p w14:paraId="1C3B8743" w14:textId="77777777" w:rsidR="0089182E" w:rsidRDefault="00000000">
      <w:pPr>
        <w:numPr>
          <w:ilvl w:val="1"/>
          <w:numId w:val="1"/>
        </w:numPr>
      </w:pPr>
      <w:r>
        <w:t>Buone pratiche per la gestione degli appalti sostenibili nella pratica.</w:t>
      </w:r>
    </w:p>
    <w:p w14:paraId="32C0DB66" w14:textId="77777777" w:rsidR="0089182E" w:rsidRDefault="00000000">
      <w:pPr>
        <w:numPr>
          <w:ilvl w:val="1"/>
          <w:numId w:val="1"/>
        </w:numPr>
      </w:pPr>
      <w:r>
        <w:t>Come la partecipazione al mercato e le negoziazioni possono contribuire a superare le difficoltà nella definizione delle specifiche tecniche.</w:t>
      </w:r>
    </w:p>
    <w:p w14:paraId="2BADAB87" w14:textId="77777777" w:rsidR="0089182E" w:rsidRDefault="0089182E">
      <w:pPr>
        <w:rPr>
          <w:b/>
          <w:bCs/>
        </w:rPr>
      </w:pPr>
    </w:p>
    <w:p w14:paraId="409A1ADB" w14:textId="77777777" w:rsidR="0089182E" w:rsidRDefault="00000000">
      <w:pPr>
        <w:rPr>
          <w:b/>
          <w:bCs/>
        </w:rPr>
      </w:pPr>
      <w:r>
        <w:rPr>
          <w:b/>
          <w:bCs/>
        </w:rPr>
        <w:t>Obiettivi di apprendimento:</w:t>
      </w:r>
    </w:p>
    <w:p w14:paraId="730521F7" w14:textId="77777777" w:rsidR="0089182E" w:rsidRDefault="00000000">
      <w:pPr>
        <w:numPr>
          <w:ilvl w:val="0"/>
          <w:numId w:val="8"/>
        </w:numPr>
      </w:pPr>
      <w:r>
        <w:t>Comprensione del quadro giuridico per gli appalti sostenibili.</w:t>
      </w:r>
    </w:p>
    <w:p w14:paraId="26F4FBD7" w14:textId="77777777" w:rsidR="0089182E" w:rsidRDefault="00000000">
      <w:pPr>
        <w:numPr>
          <w:ilvl w:val="0"/>
          <w:numId w:val="8"/>
        </w:numPr>
      </w:pPr>
      <w:r>
        <w:t>Applicazione dei criteri di sostenibilità nel quadro normativo.</w:t>
      </w:r>
    </w:p>
    <w:p w14:paraId="1F6E2B5E" w14:textId="77777777" w:rsidR="0089182E" w:rsidRDefault="00000000">
      <w:pPr>
        <w:numPr>
          <w:ilvl w:val="0"/>
          <w:numId w:val="8"/>
        </w:numPr>
      </w:pPr>
      <w:r>
        <w:t>Analisi delle procedure di approvvigionamento e selezione del metodo più appropriato.</w:t>
      </w:r>
    </w:p>
    <w:p w14:paraId="60827AD5" w14:textId="77777777" w:rsidR="0089182E" w:rsidRDefault="00000000">
      <w:pPr>
        <w:numPr>
          <w:ilvl w:val="0"/>
          <w:numId w:val="8"/>
        </w:numPr>
      </w:pPr>
      <w:r>
        <w:t>Comunicazione e motivazione delle decisioni di approvvigionamento.</w:t>
      </w:r>
    </w:p>
    <w:p w14:paraId="08AF1460" w14:textId="77777777" w:rsidR="0089182E" w:rsidRDefault="00000000">
      <w:pPr>
        <w:numPr>
          <w:ilvl w:val="0"/>
          <w:numId w:val="8"/>
        </w:numPr>
      </w:pPr>
      <w:r>
        <w:t>Identificazione e riduzione dei rischi legati al mancato rispetto delle normative ambientali e sociali.</w:t>
      </w:r>
    </w:p>
    <w:p w14:paraId="3FAD55EE" w14:textId="77777777" w:rsidR="0089182E" w:rsidRDefault="0089182E"/>
    <w:p w14:paraId="77C667FF" w14:textId="77777777" w:rsidR="0089182E" w:rsidRDefault="00000000">
      <w:r>
        <w:t>Questo esercizio combina la teoria giuridica con l’applicazione pratica e promuove sia il pensiero critico che le capacità di risoluzione dei problemi in un contesto realistico.</w:t>
      </w:r>
    </w:p>
    <w:p w14:paraId="119087FE" w14:textId="77777777" w:rsidR="0089182E" w:rsidRDefault="00000000">
      <w:r>
        <w:br w:type="page"/>
      </w:r>
    </w:p>
    <w:p w14:paraId="70BDD364" w14:textId="77777777" w:rsidR="0089182E" w:rsidRPr="00CF79CE" w:rsidRDefault="00000000">
      <w:pPr>
        <w:pStyle w:val="berschrift2"/>
        <w:rPr>
          <w:rFonts w:ascii="Aptos Serif" w:hAnsi="Aptos Serif" w:cs="Aptos Serif"/>
        </w:rPr>
      </w:pPr>
      <w:r w:rsidRPr="00CF79CE">
        <w:rPr>
          <w:rFonts w:ascii="Aptos Serif" w:hAnsi="Aptos Serif" w:cs="Aptos Serif"/>
        </w:rPr>
        <w:lastRenderedPageBreak/>
        <w:t>Scenari per casi di approvvigionamento fittizi</w:t>
      </w:r>
    </w:p>
    <w:p w14:paraId="3D63A567" w14:textId="77777777" w:rsidR="0089182E" w:rsidRDefault="0089182E"/>
    <w:p w14:paraId="32CD46D9" w14:textId="77777777" w:rsidR="0089182E" w:rsidRDefault="00000000">
      <w:pPr>
        <w:pStyle w:val="berschrift3"/>
      </w:pPr>
      <w:r>
        <w:t xml:space="preserve">Scenario 1 Caso di approvvigionamento fittizio: uniformi sostenibili per </w:t>
      </w:r>
      <w:proofErr w:type="spellStart"/>
      <w:r>
        <w:t>CityHealth</w:t>
      </w:r>
      <w:proofErr w:type="spellEnd"/>
      <w:r>
        <w:t xml:space="preserve"> Public Services </w:t>
      </w:r>
    </w:p>
    <w:p w14:paraId="0823B1ED" w14:textId="77777777" w:rsidR="0089182E" w:rsidRDefault="0089182E">
      <w:pPr>
        <w:rPr>
          <w:b/>
          <w:bCs/>
        </w:rPr>
      </w:pPr>
    </w:p>
    <w:p w14:paraId="5C6D8253" w14:textId="77777777" w:rsidR="0089182E" w:rsidRDefault="00000000">
      <w:r>
        <w:rPr>
          <w:b/>
          <w:bCs/>
        </w:rPr>
        <w:t>Informazioni di base:</w:t>
      </w:r>
    </w:p>
    <w:p w14:paraId="702D90F4" w14:textId="77777777" w:rsidR="0089182E" w:rsidRDefault="00000000">
      <w:pPr>
        <w:numPr>
          <w:ilvl w:val="0"/>
          <w:numId w:val="9"/>
        </w:numPr>
      </w:pPr>
      <w:r>
        <w:rPr>
          <w:b/>
          <w:bCs/>
        </w:rPr>
        <w:t>Organizzazione</w:t>
      </w:r>
      <w:r>
        <w:t xml:space="preserve">: </w:t>
      </w:r>
      <w:proofErr w:type="spellStart"/>
      <w:r>
        <w:t>CityHealth</w:t>
      </w:r>
      <w:proofErr w:type="spellEnd"/>
      <w:r>
        <w:t xml:space="preserve"> Public Services, un’autorità sanitaria comunale che fornisce servizi sanitari in tutta la città. </w:t>
      </w:r>
      <w:proofErr w:type="spellStart"/>
      <w:r>
        <w:t>CityHealth</w:t>
      </w:r>
      <w:proofErr w:type="spellEnd"/>
      <w:r>
        <w:t xml:space="preserve"> impiega 2.000 persone operanti nel settore sanitario, tra cui personale medico, personale infermieristico e personale amministrativo.</w:t>
      </w:r>
    </w:p>
    <w:p w14:paraId="1F1EC293" w14:textId="77777777" w:rsidR="0089182E" w:rsidRDefault="00000000">
      <w:pPr>
        <w:numPr>
          <w:ilvl w:val="0"/>
          <w:numId w:val="9"/>
        </w:numPr>
      </w:pPr>
      <w:r>
        <w:rPr>
          <w:b/>
          <w:bCs/>
        </w:rPr>
        <w:t xml:space="preserve">Ambito del </w:t>
      </w:r>
      <w:r>
        <w:t xml:space="preserve">progetto: il progetto comprende l’approvvigionamento di uniformi per tutte le persone impiegate, tra cui camici ospedalieri, camici da laboratorio e abiti amministrativi. Le uniformi vengono indossate quotidianamente da personale medico specializzato, pertanto la durata e il comfort sono di fondamentale importanza. </w:t>
      </w:r>
      <w:proofErr w:type="spellStart"/>
      <w:r>
        <w:t>CityHealth</w:t>
      </w:r>
      <w:proofErr w:type="spellEnd"/>
      <w:r>
        <w:t xml:space="preserve"> desidera garantire che i tessuti utilizzati per le uniformi siano conformi agli standard di sostenibilità sia sociale che ambientale.</w:t>
      </w:r>
    </w:p>
    <w:p w14:paraId="7A1B4476" w14:textId="77777777" w:rsidR="0089182E" w:rsidRDefault="00000000">
      <w:pPr>
        <w:numPr>
          <w:ilvl w:val="0"/>
          <w:numId w:val="9"/>
        </w:numPr>
      </w:pPr>
      <w:r>
        <w:rPr>
          <w:b/>
          <w:bCs/>
        </w:rPr>
        <w:t>Obiettivi</w:t>
      </w:r>
      <w:r>
        <w:t xml:space="preserve">: l’obiettivo principale è garantire che le divise siano realizzate con tessuti sostenibili che soddisfino elevati standard sociali e ambientali. </w:t>
      </w:r>
      <w:proofErr w:type="spellStart"/>
      <w:r>
        <w:t>CityHealth</w:t>
      </w:r>
      <w:proofErr w:type="spellEnd"/>
      <w:r>
        <w:t xml:space="preserve"> desidera ridurre la propria impronta ecologica, sostenere pratiche lavorative eque e migliorare il proprio profilo di sostenibilità.</w:t>
      </w:r>
    </w:p>
    <w:p w14:paraId="031E5284" w14:textId="77777777" w:rsidR="0089182E" w:rsidRDefault="0089182E">
      <w:pPr>
        <w:rPr>
          <w:b/>
          <w:bCs/>
        </w:rPr>
      </w:pPr>
    </w:p>
    <w:p w14:paraId="3D5037CB" w14:textId="77777777" w:rsidR="0089182E" w:rsidRDefault="00000000">
      <w:r>
        <w:rPr>
          <w:b/>
          <w:bCs/>
        </w:rPr>
        <w:t>Requisiti di sostenibilità:</w:t>
      </w:r>
    </w:p>
    <w:p w14:paraId="4979362C" w14:textId="77777777" w:rsidR="0089182E" w:rsidRDefault="00000000">
      <w:pPr>
        <w:numPr>
          <w:ilvl w:val="0"/>
          <w:numId w:val="10"/>
        </w:numPr>
      </w:pPr>
      <w:r>
        <w:rPr>
          <w:b/>
          <w:bCs/>
        </w:rPr>
        <w:t>Criteri di sostenibilità sociale</w:t>
      </w:r>
      <w:r>
        <w:t>:</w:t>
      </w:r>
    </w:p>
    <w:p w14:paraId="4A201525" w14:textId="77777777" w:rsidR="0089182E" w:rsidRDefault="00000000">
      <w:pPr>
        <w:numPr>
          <w:ilvl w:val="1"/>
          <w:numId w:val="10"/>
        </w:numPr>
      </w:pPr>
      <w:r>
        <w:rPr>
          <w:b/>
          <w:bCs/>
        </w:rPr>
        <w:t>Condizioni di lavoro eque</w:t>
      </w:r>
      <w:r>
        <w:t xml:space="preserve">: tutti i tessuti devono essere acquistati da fornitori che rispettano gli standard internazionali di lavoro, come le convenzioni </w:t>
      </w:r>
      <w:r>
        <w:rPr>
          <w:b/>
          <w:bCs/>
        </w:rPr>
        <w:t>dell’Organizzazione Internazionale del Lavoro (OIL)</w:t>
      </w:r>
      <w:r>
        <w:t>. Ciò significa che le persone coinvolte nella produzione dei tessuti devono ricevere salari equi, lavorare in condizioni di sicurezza e avere il diritto di organizzarsi in sindacati.</w:t>
      </w:r>
    </w:p>
    <w:p w14:paraId="4BD7FA24" w14:textId="77777777" w:rsidR="0089182E" w:rsidRDefault="00000000">
      <w:pPr>
        <w:numPr>
          <w:ilvl w:val="1"/>
          <w:numId w:val="10"/>
        </w:numPr>
      </w:pPr>
      <w:r>
        <w:rPr>
          <w:b/>
          <w:bCs/>
        </w:rPr>
        <w:t>Catena di fornitura etica certificata</w:t>
      </w:r>
      <w:r>
        <w:t xml:space="preserve">: i fornitori devono disporre di certificazioni quali </w:t>
      </w:r>
      <w:r>
        <w:rPr>
          <w:b/>
          <w:bCs/>
        </w:rPr>
        <w:t xml:space="preserve">Fair Trade </w:t>
      </w:r>
      <w:r>
        <w:t xml:space="preserve">o </w:t>
      </w:r>
      <w:r>
        <w:rPr>
          <w:b/>
          <w:bCs/>
        </w:rPr>
        <w:t xml:space="preserve">Global </w:t>
      </w:r>
      <w:proofErr w:type="spellStart"/>
      <w:r>
        <w:rPr>
          <w:b/>
          <w:bCs/>
        </w:rPr>
        <w:t>Organic</w:t>
      </w:r>
      <w:proofErr w:type="spellEnd"/>
      <w:r>
        <w:rPr>
          <w:b/>
          <w:bCs/>
        </w:rPr>
        <w:t xml:space="preserve"> </w:t>
      </w:r>
      <w:proofErr w:type="spellStart"/>
      <w:r>
        <w:rPr>
          <w:b/>
          <w:bCs/>
        </w:rPr>
        <w:t>Textile</w:t>
      </w:r>
      <w:proofErr w:type="spellEnd"/>
      <w:r>
        <w:rPr>
          <w:b/>
          <w:bCs/>
        </w:rPr>
        <w:t xml:space="preserve"> Standard (GOTS)</w:t>
      </w:r>
      <w:r>
        <w:t>, che garantiscono che la produzione dei tessuti soddisfi in modo dimostrabile i criteri di approvvigionamento etico e condizioni di lavoro eque.</w:t>
      </w:r>
    </w:p>
    <w:p w14:paraId="37A41EC8" w14:textId="77777777" w:rsidR="0089182E" w:rsidRDefault="00000000">
      <w:pPr>
        <w:numPr>
          <w:ilvl w:val="1"/>
          <w:numId w:val="10"/>
        </w:numPr>
      </w:pPr>
      <w:r>
        <w:rPr>
          <w:b/>
          <w:bCs/>
        </w:rPr>
        <w:t>Preferenza per l’approvvigionamento locale</w:t>
      </w:r>
      <w:r>
        <w:t xml:space="preserve">: ove possibile, </w:t>
      </w:r>
      <w:proofErr w:type="spellStart"/>
      <w:r>
        <w:t>CityHealth</w:t>
      </w:r>
      <w:proofErr w:type="spellEnd"/>
      <w:r>
        <w:t xml:space="preserve"> privilegia l’approvvigionamento di tessuti da produttori locali al fine di sostenere l’economia regionale e ridurre le emissioni di CO2 legate al trasporto.</w:t>
      </w:r>
    </w:p>
    <w:p w14:paraId="2E3DA11E" w14:textId="77777777" w:rsidR="0089182E" w:rsidRDefault="0089182E">
      <w:pPr>
        <w:ind w:left="1440"/>
      </w:pPr>
    </w:p>
    <w:p w14:paraId="0D5ADA29" w14:textId="77777777" w:rsidR="0089182E" w:rsidRDefault="00000000">
      <w:pPr>
        <w:numPr>
          <w:ilvl w:val="0"/>
          <w:numId w:val="10"/>
        </w:numPr>
      </w:pPr>
      <w:r>
        <w:rPr>
          <w:b/>
          <w:bCs/>
        </w:rPr>
        <w:lastRenderedPageBreak/>
        <w:t>Criteri di sostenibilità ambientale</w:t>
      </w:r>
      <w:r>
        <w:t>:</w:t>
      </w:r>
    </w:p>
    <w:p w14:paraId="71701DB3" w14:textId="77777777" w:rsidR="0089182E" w:rsidRDefault="00000000">
      <w:pPr>
        <w:numPr>
          <w:ilvl w:val="1"/>
          <w:numId w:val="10"/>
        </w:numPr>
      </w:pPr>
      <w:r>
        <w:rPr>
          <w:b/>
          <w:bCs/>
        </w:rPr>
        <w:t>Approvvigionamento dei materiali</w:t>
      </w:r>
      <w:r>
        <w:t>: i tessuti devono essere realizzati con materiali ecologicamente sostenibili come cotone biologico, poliestere riciclato o Tencel, che sono biodegradabili e richiedono una lavorazione chimica minima.</w:t>
      </w:r>
    </w:p>
    <w:p w14:paraId="75304ED1" w14:textId="77777777" w:rsidR="0089182E" w:rsidRDefault="00000000">
      <w:pPr>
        <w:numPr>
          <w:ilvl w:val="1"/>
          <w:numId w:val="10"/>
        </w:numPr>
      </w:pPr>
      <w:r>
        <w:rPr>
          <w:b/>
          <w:bCs/>
        </w:rPr>
        <w:t>Consumo di acqua e sostanze chimiche</w:t>
      </w:r>
      <w:r>
        <w:t xml:space="preserve">: i fornitori devono impegnarsi a ridurre il consumo di acqua ed evitare l’uso di sostanze chimiche nocive nella produzione dei tessuti, seguendo linee guida simili allo </w:t>
      </w:r>
      <w:r>
        <w:rPr>
          <w:b/>
          <w:bCs/>
        </w:rPr>
        <w:t xml:space="preserve">standard OEKO-TEX 100 </w:t>
      </w:r>
      <w:r>
        <w:t xml:space="preserve">per le sostanze nocive e al </w:t>
      </w:r>
      <w:r>
        <w:rPr>
          <w:b/>
          <w:bCs/>
        </w:rPr>
        <w:t xml:space="preserve">Global </w:t>
      </w:r>
      <w:proofErr w:type="spellStart"/>
      <w:r>
        <w:rPr>
          <w:b/>
          <w:bCs/>
        </w:rPr>
        <w:t>Organic</w:t>
      </w:r>
      <w:proofErr w:type="spellEnd"/>
      <w:r>
        <w:rPr>
          <w:b/>
          <w:bCs/>
        </w:rPr>
        <w:t xml:space="preserve"> </w:t>
      </w:r>
      <w:proofErr w:type="spellStart"/>
      <w:r>
        <w:rPr>
          <w:b/>
          <w:bCs/>
        </w:rPr>
        <w:t>Textile</w:t>
      </w:r>
      <w:proofErr w:type="spellEnd"/>
      <w:r>
        <w:rPr>
          <w:b/>
          <w:bCs/>
        </w:rPr>
        <w:t xml:space="preserve"> Standard (GOTS)</w:t>
      </w:r>
      <w:r>
        <w:t>.</w:t>
      </w:r>
    </w:p>
    <w:p w14:paraId="594C8C41" w14:textId="77777777" w:rsidR="0089182E" w:rsidRDefault="00000000">
      <w:pPr>
        <w:numPr>
          <w:ilvl w:val="1"/>
          <w:numId w:val="10"/>
        </w:numPr>
      </w:pPr>
      <w:r>
        <w:rPr>
          <w:b/>
          <w:bCs/>
        </w:rPr>
        <w:t>Resistenza e durata</w:t>
      </w:r>
      <w:r>
        <w:t>: le uniformi devono essere resistenti e durevoli per ridurre la frequenza di sostituzione e minimizzare così i rifiuti complessivi. Inoltre, dovrebbero essere facilmente riciclabili al termine del ciclo di vita.</w:t>
      </w:r>
    </w:p>
    <w:p w14:paraId="68AD7BD8" w14:textId="77777777" w:rsidR="0089182E" w:rsidRDefault="00000000">
      <w:pPr>
        <w:numPr>
          <w:ilvl w:val="1"/>
          <w:numId w:val="10"/>
        </w:numPr>
      </w:pPr>
      <w:r>
        <w:rPr>
          <w:b/>
          <w:bCs/>
        </w:rPr>
        <w:t xml:space="preserve">Riduzione al minimo </w:t>
      </w:r>
      <w:r>
        <w:t>dei</w:t>
      </w:r>
      <w:r>
        <w:rPr>
          <w:b/>
          <w:bCs/>
        </w:rPr>
        <w:t xml:space="preserve"> rifiuti</w:t>
      </w:r>
      <w:r>
        <w:t>: i fornitori devono adottare misure per ridurre al minimo i rifiuti tessili durante la produzione, ad esempio utilizzando metodi di produzione a rifiuti zero o riutilizzando i materiali di scarto.</w:t>
      </w:r>
    </w:p>
    <w:p w14:paraId="6274EC54" w14:textId="77777777" w:rsidR="0089182E" w:rsidRDefault="0089182E">
      <w:pPr>
        <w:ind w:left="1440"/>
      </w:pPr>
    </w:p>
    <w:p w14:paraId="3A9B2AB5" w14:textId="77777777" w:rsidR="0089182E" w:rsidRDefault="00000000">
      <w:pPr>
        <w:numPr>
          <w:ilvl w:val="0"/>
          <w:numId w:val="10"/>
        </w:numPr>
        <w:rPr>
          <w:b/>
          <w:bCs/>
        </w:rPr>
      </w:pPr>
      <w:r>
        <w:rPr>
          <w:b/>
          <w:bCs/>
        </w:rPr>
        <w:t>Requisiti legali:</w:t>
      </w:r>
    </w:p>
    <w:p w14:paraId="6DC23393" w14:textId="77777777" w:rsidR="0089182E" w:rsidRDefault="00000000">
      <w:pPr>
        <w:numPr>
          <w:ilvl w:val="1"/>
          <w:numId w:val="10"/>
        </w:numPr>
      </w:pPr>
      <w:r>
        <w:rPr>
          <w:b/>
          <w:bCs/>
        </w:rPr>
        <w:t>Direttive UE</w:t>
      </w:r>
      <w:r>
        <w:t xml:space="preserve">: l’approvvigionamento deve essere conforme </w:t>
      </w:r>
      <w:r>
        <w:rPr>
          <w:b/>
          <w:bCs/>
        </w:rPr>
        <w:t xml:space="preserve">al regolamento UE n. 1007/2011 </w:t>
      </w:r>
      <w:r>
        <w:t xml:space="preserve">relativo alla denominazione e all’etichettatura delle fibre tessili, al fine di garantire la trasparenza in merito al contenuto delle fibre, nonché </w:t>
      </w:r>
      <w:r>
        <w:rPr>
          <w:b/>
          <w:bCs/>
        </w:rPr>
        <w:t xml:space="preserve">al regolamento UE 2019/1020 </w:t>
      </w:r>
      <w:r>
        <w:t>relativo alla vigilanza del mercato, al fine di garantire che i prodotti siano conformi agli standard di sicurezza.</w:t>
      </w:r>
    </w:p>
    <w:p w14:paraId="4E4175BA" w14:textId="77777777" w:rsidR="0089182E" w:rsidRDefault="00000000">
      <w:pPr>
        <w:numPr>
          <w:ilvl w:val="1"/>
          <w:numId w:val="10"/>
        </w:numPr>
      </w:pPr>
      <w:r>
        <w:rPr>
          <w:b/>
          <w:bCs/>
        </w:rPr>
        <w:t>Leggi nazionali in materia di ambiente</w:t>
      </w:r>
      <w:r>
        <w:t xml:space="preserve">: il progetto deve rispettare le leggi nazionali sullo smaltimento dei rifiuti tessili e sulla riduzione delle sostanze chimiche pericolose nella produzione tessile. Ciò include anche il rispetto del </w:t>
      </w:r>
      <w:r>
        <w:rPr>
          <w:b/>
          <w:bCs/>
        </w:rPr>
        <w:t xml:space="preserve">regolamento sulle sostanze chimiche </w:t>
      </w:r>
      <w:r>
        <w:t>(regolamento REACH), che limita l’uso di sostanze chimiche nocive nei tessuti venduti nell’UE.</w:t>
      </w:r>
    </w:p>
    <w:p w14:paraId="404E4CFE" w14:textId="77777777" w:rsidR="0089182E" w:rsidRDefault="00000000">
      <w:pPr>
        <w:numPr>
          <w:ilvl w:val="1"/>
          <w:numId w:val="10"/>
        </w:numPr>
      </w:pPr>
      <w:r>
        <w:rPr>
          <w:b/>
          <w:bCs/>
        </w:rPr>
        <w:t>Convenzioni internazionali</w:t>
      </w:r>
      <w:r>
        <w:t xml:space="preserve">: </w:t>
      </w:r>
      <w:proofErr w:type="spellStart"/>
      <w:r>
        <w:t>CityHealth</w:t>
      </w:r>
      <w:proofErr w:type="spellEnd"/>
      <w:r>
        <w:t xml:space="preserve"> deve garantire che il processo di approvvigionamento sia conforme alle convenzioni internazionali, come i </w:t>
      </w:r>
      <w:r>
        <w:rPr>
          <w:b/>
          <w:bCs/>
        </w:rPr>
        <w:t>Principi guida delle Nazioni Unite su imprese e diritti umani</w:t>
      </w:r>
      <w:r>
        <w:t>, al fine di garantire il rispetto dei diritti umani nella catena di approvvigionamento e prevenire lo sfruttamento delle persone lavoratrici.</w:t>
      </w:r>
    </w:p>
    <w:p w14:paraId="16EC7FBF" w14:textId="77777777" w:rsidR="0089182E" w:rsidRDefault="00000000">
      <w:pPr>
        <w:numPr>
          <w:ilvl w:val="1"/>
          <w:numId w:val="10"/>
        </w:numPr>
      </w:pPr>
      <w:r>
        <w:rPr>
          <w:b/>
          <w:bCs/>
        </w:rPr>
        <w:t>Normative sull’economia circolare</w:t>
      </w:r>
      <w:r>
        <w:t xml:space="preserve">: la città ha aderito al </w:t>
      </w:r>
      <w:r>
        <w:rPr>
          <w:b/>
          <w:bCs/>
        </w:rPr>
        <w:t xml:space="preserve">piano </w:t>
      </w:r>
      <w:r>
        <w:t xml:space="preserve">d’azione dell’UE </w:t>
      </w:r>
      <w:r>
        <w:rPr>
          <w:b/>
          <w:bCs/>
        </w:rPr>
        <w:t xml:space="preserve">per l’economia circolare </w:t>
      </w:r>
      <w:r>
        <w:t>e mira ad acquistare prodotti che contribuiscono all’economia circolare. Ciò include l’uso di tessuti che possono essere riciclati, riutilizzati o biodegradati dopo l’uso.</w:t>
      </w:r>
    </w:p>
    <w:p w14:paraId="09ED8334" w14:textId="77777777" w:rsidR="0089182E" w:rsidRDefault="0089182E">
      <w:pPr>
        <w:ind w:left="1440"/>
      </w:pPr>
    </w:p>
    <w:p w14:paraId="77CF19EF" w14:textId="77777777" w:rsidR="0089182E" w:rsidRDefault="00000000">
      <w:pPr>
        <w:numPr>
          <w:ilvl w:val="0"/>
          <w:numId w:val="10"/>
        </w:numPr>
        <w:rPr>
          <w:b/>
          <w:bCs/>
        </w:rPr>
      </w:pPr>
      <w:r>
        <w:rPr>
          <w:b/>
          <w:bCs/>
        </w:rPr>
        <w:t>Sfide:</w:t>
      </w:r>
    </w:p>
    <w:p w14:paraId="5F22E0EE" w14:textId="77777777" w:rsidR="0089182E" w:rsidRDefault="00000000">
      <w:pPr>
        <w:numPr>
          <w:ilvl w:val="1"/>
          <w:numId w:val="10"/>
        </w:numPr>
      </w:pPr>
      <w:r>
        <w:rPr>
          <w:b/>
          <w:bCs/>
        </w:rPr>
        <w:lastRenderedPageBreak/>
        <w:t>Capacità dei fornitori e conformità</w:t>
      </w:r>
      <w:r>
        <w:t xml:space="preserve">: sebbene sul mercato siano presenti diversi fornitori, molti di essi non soddisfano pienamente i rigorosi criteri ambientali e sociali di </w:t>
      </w:r>
      <w:proofErr w:type="spellStart"/>
      <w:r>
        <w:t>CityHealth</w:t>
      </w:r>
      <w:proofErr w:type="spellEnd"/>
      <w:r>
        <w:t>. È molto difficile trovare fornitori che soddisfino su larga scala gli standard di sostenibilità sia lavorativa che ambientale per i tessuti. Inoltre, molti fornitori hanno una trasparenza limitata per quanto riguarda le loro catene di approvvigionamento, il che rende difficile verificare le informazioni relative alle pratiche di lavoro eque o all’approvvigionamento dei materiali.</w:t>
      </w:r>
    </w:p>
    <w:p w14:paraId="581BF515" w14:textId="77777777" w:rsidR="0089182E" w:rsidRDefault="00000000">
      <w:pPr>
        <w:numPr>
          <w:ilvl w:val="1"/>
          <w:numId w:val="10"/>
        </w:numPr>
      </w:pPr>
      <w:r>
        <w:rPr>
          <w:b/>
          <w:bCs/>
        </w:rPr>
        <w:t>Complessità delle certificazioni</w:t>
      </w:r>
      <w:r>
        <w:t xml:space="preserve">: orientarsi tra le numerose certificazioni e norme (ad esempio </w:t>
      </w:r>
      <w:r>
        <w:rPr>
          <w:b/>
          <w:bCs/>
        </w:rPr>
        <w:t>OEKO-TEX</w:t>
      </w:r>
      <w:r>
        <w:t xml:space="preserve">, </w:t>
      </w:r>
      <w:r>
        <w:rPr>
          <w:b/>
          <w:bCs/>
        </w:rPr>
        <w:t>GOTS</w:t>
      </w:r>
      <w:r>
        <w:t xml:space="preserve">, </w:t>
      </w:r>
      <w:r>
        <w:rPr>
          <w:b/>
          <w:bCs/>
        </w:rPr>
        <w:t>Fair Trade</w:t>
      </w:r>
      <w:r>
        <w:t xml:space="preserve">) è complicato. Alcune certificazioni si concentrano su un unico aspetto (ad esempio la lavorazione senza sostanze chimiche), trascurando altri (ad esempio il consumo di acqua o i diritti dei lavoratori). Garantire che tutti i criteri siano soddisfatti senza requisiti contraddittori o processi di certificazione eccessivamente onerosi è una sfida per </w:t>
      </w:r>
      <w:proofErr w:type="gramStart"/>
      <w:r>
        <w:t>i team</w:t>
      </w:r>
      <w:proofErr w:type="gramEnd"/>
      <w:r>
        <w:t xml:space="preserve"> di approvvigionamento.</w:t>
      </w:r>
    </w:p>
    <w:p w14:paraId="439612AD" w14:textId="77777777" w:rsidR="0089182E" w:rsidRDefault="00000000">
      <w:pPr>
        <w:numPr>
          <w:ilvl w:val="1"/>
          <w:numId w:val="10"/>
        </w:numPr>
      </w:pPr>
      <w:r>
        <w:rPr>
          <w:b/>
          <w:bCs/>
        </w:rPr>
        <w:t>Considerazioni sui costi</w:t>
      </w:r>
      <w:r>
        <w:t xml:space="preserve">: sebbene i tessuti sostenibili siano una priorità, spesso sono più costosi di quelli tradizionali. Data la grande quantità di uniformi necessaria per una forza lavoro di 2.000 persone, il controllo dei costi rappresenta una sfida. </w:t>
      </w:r>
      <w:proofErr w:type="spellStart"/>
      <w:r>
        <w:t>CityHealth</w:t>
      </w:r>
      <w:proofErr w:type="spellEnd"/>
      <w:r>
        <w:t xml:space="preserve"> deve bilanciare il proprio budget e allo stesso tempo raggiungere i propri obiettivi in materia di sostenibilità e approvvigionamento etico.</w:t>
      </w:r>
    </w:p>
    <w:p w14:paraId="6F574DD6" w14:textId="77777777" w:rsidR="0089182E" w:rsidRDefault="00000000">
      <w:pPr>
        <w:numPr>
          <w:ilvl w:val="1"/>
          <w:numId w:val="10"/>
        </w:numPr>
      </w:pPr>
      <w:r>
        <w:rPr>
          <w:b/>
          <w:bCs/>
        </w:rPr>
        <w:t>Definizione dell’impatto sociale e ambientale</w:t>
      </w:r>
      <w:r>
        <w:t>: può essere difficile definire con precisione l’impatto dell’approvvigionamento tessile sull’ambiente e sulla forza lavoro. Ad esempio, la scelta del cotone biologico può ridurre l’uso di pesticidi, ma può anche richiedere notevoli risorse di superfici, il che potrebbe non essere compatibile con altri obiettivi ambientali come la conservazione del suolo. La ricerca di soluzioni che ottimizzino sia l’impatto ambientale sia quello sociale può essere un complesso esercizio di equilibrio.</w:t>
      </w:r>
    </w:p>
    <w:p w14:paraId="03520687" w14:textId="77777777" w:rsidR="0089182E" w:rsidRDefault="00000000">
      <w:pPr>
        <w:numPr>
          <w:ilvl w:val="1"/>
          <w:numId w:val="10"/>
        </w:numPr>
      </w:pPr>
      <w:r>
        <w:rPr>
          <w:b/>
          <w:bCs/>
        </w:rPr>
        <w:t>Disponibilità e innovazione dei fornitori</w:t>
      </w:r>
      <w:r>
        <w:t xml:space="preserve">: esiste solo un numero limitato di fornitori che offrono sia tessuti di alta qualità sia le certificazioni di sostenibilità richieste da </w:t>
      </w:r>
      <w:proofErr w:type="spellStart"/>
      <w:r>
        <w:t>CityHealth</w:t>
      </w:r>
      <w:proofErr w:type="spellEnd"/>
      <w:r>
        <w:t xml:space="preserve">. Molti dei fornitori più piccoli e locali non hanno la capacità di aumentare la loro produzione in modo da soddisfare l’elevata domanda di un cliente del settore pubblico come </w:t>
      </w:r>
      <w:proofErr w:type="spellStart"/>
      <w:r>
        <w:t>CityHealth</w:t>
      </w:r>
      <w:proofErr w:type="spellEnd"/>
      <w:r>
        <w:t>. Inoltre, alcuni tessuti nelle finiture e nelle taglie speciali richieste per le uniformi non sono facilmente disponibili, il che rende l’approvvigionamento ancora più difficile.</w:t>
      </w:r>
    </w:p>
    <w:p w14:paraId="7CD11F36" w14:textId="77777777" w:rsidR="0089182E" w:rsidRDefault="0089182E"/>
    <w:p w14:paraId="7DA76755" w14:textId="77777777" w:rsidR="0089182E" w:rsidRDefault="0089182E"/>
    <w:p w14:paraId="1A341D4B" w14:textId="77777777" w:rsidR="0089182E" w:rsidRDefault="00000000">
      <w:pPr>
        <w:pStyle w:val="berschrift3"/>
      </w:pPr>
      <w:r>
        <w:lastRenderedPageBreak/>
        <w:t>Scenario 2 Caso di approvvigionamento fittizio: attrezzature IT per un piccolo comune</w:t>
      </w:r>
    </w:p>
    <w:p w14:paraId="5C5491FF" w14:textId="77777777" w:rsidR="0089182E" w:rsidRDefault="0089182E">
      <w:pPr>
        <w:rPr>
          <w:b/>
          <w:bCs/>
        </w:rPr>
      </w:pPr>
    </w:p>
    <w:p w14:paraId="3371D5FA" w14:textId="77777777" w:rsidR="0089182E" w:rsidRDefault="00000000">
      <w:r>
        <w:rPr>
          <w:b/>
          <w:bCs/>
        </w:rPr>
        <w:t>Informazioni di base:</w:t>
      </w:r>
    </w:p>
    <w:p w14:paraId="312AB8B4" w14:textId="77777777" w:rsidR="0089182E" w:rsidRDefault="00000000">
      <w:pPr>
        <w:numPr>
          <w:ilvl w:val="0"/>
          <w:numId w:val="4"/>
        </w:numPr>
      </w:pPr>
      <w:r>
        <w:rPr>
          <w:b/>
          <w:bCs/>
        </w:rPr>
        <w:t>Organizzazione</w:t>
      </w:r>
      <w:r>
        <w:t xml:space="preserve">: il comune di </w:t>
      </w:r>
      <w:proofErr w:type="spellStart"/>
      <w:r>
        <w:t>GreenValley</w:t>
      </w:r>
      <w:proofErr w:type="spellEnd"/>
      <w:r>
        <w:t xml:space="preserve"> è una piccola città di 50 000 abitanti situata in una zona rurale. Il comune fornisce importanti servizi pubblici quali la raccolta dei rifiuti, l’istruzione e l’amministrazione locale. Dispone di un reparto IT responsabile della gestione dell’infrastruttura digitale della città, comprese le reti, i servizi pubblici e la tecnologia per l’ufficio.</w:t>
      </w:r>
    </w:p>
    <w:p w14:paraId="4EFCA5E9" w14:textId="77777777" w:rsidR="0089182E" w:rsidRDefault="00000000">
      <w:pPr>
        <w:numPr>
          <w:ilvl w:val="0"/>
          <w:numId w:val="4"/>
        </w:numPr>
      </w:pPr>
      <w:r>
        <w:rPr>
          <w:b/>
          <w:bCs/>
        </w:rPr>
        <w:t>Ambito del progetto</w:t>
      </w:r>
      <w:r>
        <w:t>: il comune deve modernizzare la propria infrastruttura IT, compreso l’acquisto di nuovi computer, stampanti e software, al fine di migliorare l’efficienza dei processi amministrativi locali. Questa modernizzazione è fondamentale per offrire un servizio migliore alla popolazione della città e garantire la digitalizzazione dei servizi pubblici. Il progetto comprende l’acquisto di 100 computer desktop, 50 laptop, 30 stampanti e diverse licenze software per l’amministrazione comunale.</w:t>
      </w:r>
    </w:p>
    <w:p w14:paraId="4D75B149" w14:textId="77777777" w:rsidR="0089182E" w:rsidRDefault="00000000">
      <w:pPr>
        <w:numPr>
          <w:ilvl w:val="0"/>
          <w:numId w:val="4"/>
        </w:numPr>
      </w:pPr>
      <w:r>
        <w:rPr>
          <w:b/>
          <w:bCs/>
        </w:rPr>
        <w:t>Obiettivi</w:t>
      </w:r>
      <w:r>
        <w:t>: l’obiettivo principale è migliorare le capacità informatiche del comune, sostenendo al contempo le imprese locali. L’acquisto deve comprendere prodotti rispettosi dell’ambiente e tenere conto dell’impatto sociale delle decisioni di acquisto. È preferibile acquistare questi prodotti da fornitori locali, al fine di promuovere la crescita economica nella regione e sostenere l’economia locale.</w:t>
      </w:r>
    </w:p>
    <w:p w14:paraId="371F2EF6" w14:textId="77777777" w:rsidR="0089182E" w:rsidRDefault="0089182E">
      <w:pPr>
        <w:rPr>
          <w:b/>
          <w:bCs/>
        </w:rPr>
      </w:pPr>
    </w:p>
    <w:p w14:paraId="42596D5B" w14:textId="77777777" w:rsidR="0089182E" w:rsidRDefault="00000000">
      <w:r>
        <w:rPr>
          <w:b/>
          <w:bCs/>
        </w:rPr>
        <w:t>Requisiti di sostenibilità:</w:t>
      </w:r>
    </w:p>
    <w:p w14:paraId="7BC51BAA" w14:textId="77777777" w:rsidR="0089182E" w:rsidRDefault="00000000">
      <w:pPr>
        <w:numPr>
          <w:ilvl w:val="0"/>
          <w:numId w:val="5"/>
        </w:numPr>
      </w:pPr>
      <w:r>
        <w:rPr>
          <w:b/>
          <w:bCs/>
        </w:rPr>
        <w:t>Criteri di sostenibilità ambientale</w:t>
      </w:r>
      <w:r>
        <w:t>:</w:t>
      </w:r>
    </w:p>
    <w:p w14:paraId="53C34044" w14:textId="77777777" w:rsidR="0089182E" w:rsidRDefault="00000000">
      <w:pPr>
        <w:numPr>
          <w:ilvl w:val="1"/>
          <w:numId w:val="5"/>
        </w:numPr>
      </w:pPr>
      <w:r>
        <w:rPr>
          <w:b/>
          <w:bCs/>
        </w:rPr>
        <w:t>Efficienza energetica</w:t>
      </w:r>
      <w:r>
        <w:t>: tutti i prodotti IT (computer, stampanti, ecc.) devono soddisfare gli standard di efficienza energetica, come la certificazione TCO, che indica un minor consumo energetico durante il funzionamento. Le apparecchiature devono essere a basso consumo energetico per ridurre l’impronta di carbonio del comune.</w:t>
      </w:r>
    </w:p>
    <w:p w14:paraId="0485661F" w14:textId="77777777" w:rsidR="0089182E" w:rsidRDefault="00000000">
      <w:pPr>
        <w:numPr>
          <w:ilvl w:val="1"/>
          <w:numId w:val="5"/>
        </w:numPr>
      </w:pPr>
      <w:r>
        <w:rPr>
          <w:b/>
          <w:bCs/>
        </w:rPr>
        <w:t>Gestione dei rifiuti elettronici</w:t>
      </w:r>
      <w:r>
        <w:t>: i fornitori devono offrire programmi di ritiro o riciclaggio per le vecchie apparecchiature IT. Il comune si impegna a ridurre l’impatto ambientale dei rifiuti elettronici e a garantire che la tecnologia dismessa venga smaltita in modo responsabile.</w:t>
      </w:r>
    </w:p>
    <w:p w14:paraId="0CAB5894" w14:textId="77777777" w:rsidR="0089182E" w:rsidRDefault="00000000">
      <w:pPr>
        <w:numPr>
          <w:ilvl w:val="1"/>
          <w:numId w:val="5"/>
        </w:numPr>
      </w:pPr>
      <w:r>
        <w:rPr>
          <w:b/>
          <w:bCs/>
        </w:rPr>
        <w:t>Materiali sostenibili</w:t>
      </w:r>
      <w:r>
        <w:t>: viene data preferenza alle apparecchiature IT realizzate con materiali riciclati o riciclabili, in particolare per le parti in plastica e metallo dei prodotti.</w:t>
      </w:r>
    </w:p>
    <w:p w14:paraId="2471EAC7" w14:textId="77777777" w:rsidR="0089182E" w:rsidRDefault="0089182E"/>
    <w:p w14:paraId="414892EF" w14:textId="77777777" w:rsidR="0089182E" w:rsidRDefault="0089182E"/>
    <w:p w14:paraId="1839AEF9" w14:textId="77777777" w:rsidR="0089182E" w:rsidRDefault="00000000">
      <w:pPr>
        <w:numPr>
          <w:ilvl w:val="0"/>
          <w:numId w:val="5"/>
        </w:numPr>
      </w:pPr>
      <w:r>
        <w:rPr>
          <w:b/>
          <w:bCs/>
        </w:rPr>
        <w:t>Criteri di sostenibilità sociale</w:t>
      </w:r>
      <w:r>
        <w:t>:</w:t>
      </w:r>
    </w:p>
    <w:p w14:paraId="77FA3941" w14:textId="77777777" w:rsidR="0089182E" w:rsidRDefault="00000000">
      <w:pPr>
        <w:numPr>
          <w:ilvl w:val="1"/>
          <w:numId w:val="5"/>
        </w:numPr>
      </w:pPr>
      <w:r>
        <w:rPr>
          <w:b/>
          <w:bCs/>
        </w:rPr>
        <w:lastRenderedPageBreak/>
        <w:t>Sostegno all’economia locale</w:t>
      </w:r>
      <w:r>
        <w:t>: il comune intende privilegiare i fornitori locali che offrono apparecchiature e servizi IT all’interno di un’area regionale definita. I fornitori devono essere in grado di dimostrare di operare all’interno del comune o nelle regioni limitrofe, di creare posti di lavoro locali e di contribuire allo sviluppo regionale.</w:t>
      </w:r>
    </w:p>
    <w:p w14:paraId="557378A9" w14:textId="77777777" w:rsidR="0089182E" w:rsidRDefault="00000000">
      <w:pPr>
        <w:numPr>
          <w:ilvl w:val="1"/>
          <w:numId w:val="5"/>
        </w:numPr>
      </w:pPr>
      <w:r>
        <w:rPr>
          <w:b/>
          <w:bCs/>
        </w:rPr>
        <w:t>Condizioni di lavoro eque</w:t>
      </w:r>
      <w:r>
        <w:t>: il comune si aspetta che tutti i fornitori IT rispettino standard di lavoro equi, tra cui salari equi, orari di lavoro adeguati e impegno per la sicurezza sul posto di lavoro.</w:t>
      </w:r>
    </w:p>
    <w:p w14:paraId="49E8C396" w14:textId="77777777" w:rsidR="0089182E" w:rsidRDefault="00000000">
      <w:pPr>
        <w:numPr>
          <w:ilvl w:val="1"/>
          <w:numId w:val="5"/>
        </w:numPr>
      </w:pPr>
      <w:r>
        <w:rPr>
          <w:b/>
          <w:bCs/>
        </w:rPr>
        <w:t>Impegno verso la comunità</w:t>
      </w:r>
      <w:r>
        <w:t>: i fornitori locali dovrebbero partecipare a progetti o iniziative comunitarie, ad esempio attraverso l’insegnamento delle competenze digitali o il sostegno all’accesso pubblico alla tecnologia per i gruppi svantaggiati della città.</w:t>
      </w:r>
    </w:p>
    <w:p w14:paraId="01A42351" w14:textId="77777777" w:rsidR="0089182E" w:rsidRDefault="0089182E">
      <w:pPr>
        <w:rPr>
          <w:b/>
          <w:bCs/>
        </w:rPr>
      </w:pPr>
    </w:p>
    <w:p w14:paraId="10EB9B64" w14:textId="77777777" w:rsidR="0089182E" w:rsidRDefault="00000000">
      <w:r>
        <w:rPr>
          <w:b/>
          <w:bCs/>
        </w:rPr>
        <w:t>Requisiti legali:</w:t>
      </w:r>
    </w:p>
    <w:p w14:paraId="39B51150" w14:textId="77777777" w:rsidR="0089182E" w:rsidRDefault="00000000">
      <w:pPr>
        <w:numPr>
          <w:ilvl w:val="0"/>
          <w:numId w:val="6"/>
        </w:numPr>
      </w:pPr>
      <w:r>
        <w:rPr>
          <w:b/>
          <w:bCs/>
        </w:rPr>
        <w:t>Regole per gli appalti pubblici</w:t>
      </w:r>
      <w:r>
        <w:t>: la procedura di appalto deve essere conforme alle leggi nazionali e regionali in materia di appalti pubblici, comprese le norme relative alle gare d’appalto e alla trasparenza. Ciò significa che il comune deve garantire a tutte le persone fornitrici pari accesso alla procedura di gara e seguire le procedure corrette nella valutazione delle offerte.</w:t>
      </w:r>
    </w:p>
    <w:p w14:paraId="72660210" w14:textId="77777777" w:rsidR="0089182E" w:rsidRDefault="00000000">
      <w:pPr>
        <w:numPr>
          <w:ilvl w:val="0"/>
          <w:numId w:val="6"/>
        </w:numPr>
        <w:rPr>
          <w:b/>
          <w:bCs/>
        </w:rPr>
      </w:pPr>
      <w:r>
        <w:rPr>
          <w:b/>
          <w:bCs/>
        </w:rPr>
        <w:t>Direttive UE sugli appalti:</w:t>
      </w:r>
      <w:r>
        <w:t xml:space="preserve"> in alcuni casi, l’appalto deve anche essere conforme alla </w:t>
      </w:r>
      <w:r>
        <w:rPr>
          <w:b/>
          <w:bCs/>
        </w:rPr>
        <w:t xml:space="preserve">direttiva UE sugli appalti 2014/24/UE, </w:t>
      </w:r>
      <w:r>
        <w:t>che incoraggia gli enti pubblici a integrare criteri ambientali e sociali nel processo di appalto.</w:t>
      </w:r>
    </w:p>
    <w:p w14:paraId="4E6A19CC" w14:textId="77777777" w:rsidR="0089182E" w:rsidRDefault="00000000">
      <w:pPr>
        <w:numPr>
          <w:ilvl w:val="0"/>
          <w:numId w:val="6"/>
        </w:numPr>
      </w:pPr>
      <w:r>
        <w:rPr>
          <w:b/>
          <w:bCs/>
        </w:rPr>
        <w:t>Requisiti per gli appalti locali</w:t>
      </w:r>
      <w:r>
        <w:t>: nel dare la preferenza alle imprese locali, il comune deve garantire che tali preferenze non violino le leggi contro la discriminazione o non soddisfino i requisiti del diritto della concorrenza. Le imprese locali devono essere in grado di competere in modo equo nel processo di appalto sulla base del prezzo, della qualità e del rispetto dei criteri di sostenibilità.</w:t>
      </w:r>
    </w:p>
    <w:p w14:paraId="576C75DC" w14:textId="77777777" w:rsidR="0089182E" w:rsidRDefault="0089182E">
      <w:pPr>
        <w:rPr>
          <w:b/>
          <w:bCs/>
        </w:rPr>
      </w:pPr>
    </w:p>
    <w:p w14:paraId="76F24F16" w14:textId="77777777" w:rsidR="0089182E" w:rsidRDefault="00000000">
      <w:r>
        <w:rPr>
          <w:b/>
          <w:bCs/>
        </w:rPr>
        <w:t>Sfide:</w:t>
      </w:r>
    </w:p>
    <w:p w14:paraId="48D0FAD9" w14:textId="77777777" w:rsidR="0089182E" w:rsidRDefault="00000000">
      <w:pPr>
        <w:numPr>
          <w:ilvl w:val="0"/>
          <w:numId w:val="7"/>
        </w:numPr>
      </w:pPr>
      <w:r>
        <w:rPr>
          <w:b/>
          <w:bCs/>
        </w:rPr>
        <w:t>Base di fornitori limitata</w:t>
      </w:r>
      <w:r>
        <w:t xml:space="preserve">: essendo un piccolo comune in una zona rurale, </w:t>
      </w:r>
      <w:proofErr w:type="spellStart"/>
      <w:r>
        <w:t>GreenValley</w:t>
      </w:r>
      <w:proofErr w:type="spellEnd"/>
      <w:r>
        <w:t xml:space="preserve"> ha a disposizione solo un numero limitato di fornitori locali che soddisfano gli standard richiesti per i prodotti IT. Molte aziende locali potrebbero offrire solo servizi di minore entità o non essere in grado di fornire l’intera gamma di attrezzature IT necessarie (ad esempio, computer desktop e stampanti di grandi dimensioni).</w:t>
      </w:r>
    </w:p>
    <w:p w14:paraId="14343A6A" w14:textId="77777777" w:rsidR="0089182E" w:rsidRDefault="00000000">
      <w:pPr>
        <w:numPr>
          <w:ilvl w:val="0"/>
          <w:numId w:val="7"/>
        </w:numPr>
      </w:pPr>
      <w:r>
        <w:rPr>
          <w:b/>
          <w:bCs/>
        </w:rPr>
        <w:t>Equilibrio tra preferenza locale e qualità del prodotto</w:t>
      </w:r>
      <w:r>
        <w:t>: sebbene il comune desideri dare la preferenza alle imprese locali, deve anche garantire che i prodotti IT soddisfino elevati standard di qualità, durata e prestazioni. La sfida consiste nel conciliare il desiderio di sostenere le imprese locali con la necessità di prezzi competitivi e apparecchiature di alta qualità che soddisfino gli standard attuali.</w:t>
      </w:r>
    </w:p>
    <w:p w14:paraId="32B1B758" w14:textId="77777777" w:rsidR="0089182E" w:rsidRDefault="00000000">
      <w:pPr>
        <w:numPr>
          <w:ilvl w:val="0"/>
          <w:numId w:val="7"/>
        </w:numPr>
      </w:pPr>
      <w:r>
        <w:rPr>
          <w:b/>
          <w:bCs/>
        </w:rPr>
        <w:lastRenderedPageBreak/>
        <w:t>Considerazioni sui costi</w:t>
      </w:r>
      <w:r>
        <w:t xml:space="preserve">: rispetto ai fornitori nazionali o internazionali, quelli locali non sempre offrono le opzioni più convenienti. Ciò potrebbe comportare costi più elevati per il comune e, potenzialmente, vincoli di bilancio. </w:t>
      </w:r>
      <w:proofErr w:type="gramStart"/>
      <w:r>
        <w:t>Il team addetto</w:t>
      </w:r>
      <w:proofErr w:type="gramEnd"/>
      <w:r>
        <w:t xml:space="preserve"> agli acquisti deve garantire che i fornitori locali siano in grado di offrire prezzi competitivi, rispettando al contempo gli standard ambientali e sociali.</w:t>
      </w:r>
    </w:p>
    <w:p w14:paraId="66D385B4" w14:textId="77777777" w:rsidR="0089182E" w:rsidRDefault="00000000">
      <w:pPr>
        <w:numPr>
          <w:ilvl w:val="0"/>
          <w:numId w:val="7"/>
        </w:numPr>
      </w:pPr>
      <w:r>
        <w:rPr>
          <w:b/>
          <w:bCs/>
        </w:rPr>
        <w:t>Innovazione tecnologica e assistenza</w:t>
      </w:r>
      <w:r>
        <w:t>: i fornitori locali più piccoli potrebbero non avere sempre accesso alle tecnologie più recenti o alle risorse necessarie per fornire assistenza e aggiornamenti continui per i prodotti IT. Potrebbe essere difficile garantire che i fornitori locali siano in grado di fornire assistenza a lungo termine per la tecnologia (compresi aggiornamenti software, manutenzione e risoluzione dei problemi), in particolare per i prodotti che richiedono manutenzione o aggiornamenti regolari.</w:t>
      </w:r>
    </w:p>
    <w:p w14:paraId="5BBD4951" w14:textId="77777777" w:rsidR="0089182E" w:rsidRDefault="00000000">
      <w:pPr>
        <w:numPr>
          <w:ilvl w:val="0"/>
          <w:numId w:val="7"/>
        </w:numPr>
      </w:pPr>
      <w:r>
        <w:rPr>
          <w:b/>
          <w:bCs/>
        </w:rPr>
        <w:t>Smaltimento dei rifiuti elettronici</w:t>
      </w:r>
      <w:r>
        <w:t>: sebbene il comune si sia impegnato a ridurre i propri rifiuti elettronici, può essere difficile trovare fornitori locali che offrano programmi di smaltimento o riciclaggio responsabili per le apparecchiature obsolete. Molti fornitori più grandi hanno istituito programmi di ritiro e impianti di riciclaggio, ma le piccole imprese locali potrebbero non avere le risorse per offrire servizi simili.</w:t>
      </w:r>
    </w:p>
    <w:p w14:paraId="07B29D18" w14:textId="77777777" w:rsidR="0089182E" w:rsidRDefault="00000000">
      <w:pPr>
        <w:numPr>
          <w:ilvl w:val="0"/>
          <w:numId w:val="7"/>
        </w:numPr>
      </w:pPr>
      <w:r>
        <w:rPr>
          <w:b/>
          <w:bCs/>
        </w:rPr>
        <w:t>Capacità dei fornitori per ordini di grandi dimensioni</w:t>
      </w:r>
      <w:r>
        <w:t>: i fornitori locali potrebbero avere difficoltà a soddisfare l’intera domanda di ordini consistenti per apparecchiature IT, in particolare quando si tratta di acquistare grandi quantità di determinati prodotti come computer e stampanti. Ciò potrebbe costringere il comune a ridurre la quantità di determinati articoli o a cercare al di fuori del mercato locale per soddisfare le esigenze del progetto.</w:t>
      </w:r>
    </w:p>
    <w:p w14:paraId="6A414E13" w14:textId="77777777" w:rsidR="0089182E" w:rsidRDefault="0089182E"/>
    <w:p w14:paraId="665D1D1F" w14:textId="77777777" w:rsidR="0089182E" w:rsidRDefault="0089182E"/>
    <w:p w14:paraId="1D330F85" w14:textId="77777777" w:rsidR="0089182E" w:rsidRDefault="00000000">
      <w:pPr>
        <w:pStyle w:val="berschrift3"/>
      </w:pPr>
      <w:r>
        <w:t>Scenario 3: Caso di approvvigionamento fittizio: materiali da costruzione ecologici per la costruzione di una scuola pubblica</w:t>
      </w:r>
    </w:p>
    <w:p w14:paraId="4AE73250" w14:textId="77777777" w:rsidR="0089182E" w:rsidRDefault="0089182E">
      <w:pPr>
        <w:rPr>
          <w:b/>
          <w:bCs/>
        </w:rPr>
      </w:pPr>
    </w:p>
    <w:p w14:paraId="22820E77" w14:textId="77777777" w:rsidR="0089182E" w:rsidRDefault="00000000">
      <w:r>
        <w:rPr>
          <w:b/>
          <w:bCs/>
        </w:rPr>
        <w:t>Informazioni di base:</w:t>
      </w:r>
    </w:p>
    <w:p w14:paraId="7271B82E" w14:textId="77777777" w:rsidR="0089182E" w:rsidRDefault="00000000">
      <w:pPr>
        <w:numPr>
          <w:ilvl w:val="0"/>
          <w:numId w:val="11"/>
        </w:numPr>
      </w:pPr>
      <w:r>
        <w:rPr>
          <w:b/>
          <w:bCs/>
        </w:rPr>
        <w:t>Organizzazione</w:t>
      </w:r>
      <w:r>
        <w:t xml:space="preserve">: </w:t>
      </w:r>
      <w:proofErr w:type="spellStart"/>
      <w:r>
        <w:t>GreenCity</w:t>
      </w:r>
      <w:proofErr w:type="spellEnd"/>
      <w:r>
        <w:t>, un ente locale di medie dimensioni.</w:t>
      </w:r>
    </w:p>
    <w:p w14:paraId="0FB3AB75" w14:textId="77777777" w:rsidR="0089182E" w:rsidRDefault="00000000">
      <w:pPr>
        <w:numPr>
          <w:ilvl w:val="0"/>
          <w:numId w:val="11"/>
        </w:numPr>
      </w:pPr>
      <w:r>
        <w:rPr>
          <w:b/>
          <w:bCs/>
        </w:rPr>
        <w:t xml:space="preserve">Ambito del </w:t>
      </w:r>
      <w:r>
        <w:t>progetto: il progetto prevede la costruzione di una nuova scuola pubblica nel centro del comune, che dovrebbe ospitare 300 studenti. Nella costruzione dell’edificio scolastico si attribuisce grande importanza alla sostenibilità e all’efficienza energetica.</w:t>
      </w:r>
    </w:p>
    <w:p w14:paraId="7AC56CCF" w14:textId="77777777" w:rsidR="0089182E" w:rsidRDefault="00000000">
      <w:pPr>
        <w:numPr>
          <w:ilvl w:val="0"/>
          <w:numId w:val="11"/>
        </w:numPr>
      </w:pPr>
      <w:r>
        <w:rPr>
          <w:b/>
          <w:bCs/>
        </w:rPr>
        <w:t>Obiettivi</w:t>
      </w:r>
      <w:r>
        <w:t xml:space="preserve">: l’obiettivo principale è quello di progettare e costruire una scuola moderna ed ecologica che soddisfi i più elevati standard di sostenibilità. Tra gli obiettivi principali figurano la riduzione dell’impronta di carbonio dell’edificio, </w:t>
      </w:r>
      <w:r>
        <w:lastRenderedPageBreak/>
        <w:t>l’utilizzo di materiali rinnovabili e la garanzia di un’efficienza energetica a lungo termine in fase di esercizio.</w:t>
      </w:r>
    </w:p>
    <w:p w14:paraId="02EC4214" w14:textId="77777777" w:rsidR="0089182E" w:rsidRDefault="0089182E">
      <w:pPr>
        <w:rPr>
          <w:b/>
          <w:bCs/>
        </w:rPr>
      </w:pPr>
    </w:p>
    <w:p w14:paraId="3CAFBCED" w14:textId="77777777" w:rsidR="0089182E" w:rsidRDefault="00000000">
      <w:r>
        <w:rPr>
          <w:b/>
          <w:bCs/>
        </w:rPr>
        <w:t>Requisiti di sostenibilità:</w:t>
      </w:r>
    </w:p>
    <w:p w14:paraId="3CEFAAC4" w14:textId="77777777" w:rsidR="0089182E" w:rsidRDefault="00000000">
      <w:pPr>
        <w:numPr>
          <w:ilvl w:val="0"/>
          <w:numId w:val="12"/>
        </w:numPr>
      </w:pPr>
      <w:r>
        <w:rPr>
          <w:b/>
          <w:bCs/>
        </w:rPr>
        <w:t>Efficienza energetica</w:t>
      </w:r>
      <w:r>
        <w:t>: l’edificio scolastico deve essere progettato in modo da ridurre al minimo il consumo energetico facendo ricorso a una coibentazione ad alta prestazione, sistemi di illuminazione a risparmio energetico e fonti di energia rinnovabile (ad esempio pannelli solari). Tutti i materiali da costruzione dovrebbero contribuire al risparmio energetico per tutta la durata di vita dell’edificio.</w:t>
      </w:r>
    </w:p>
    <w:p w14:paraId="5176E370" w14:textId="77777777" w:rsidR="0089182E" w:rsidRDefault="00000000">
      <w:pPr>
        <w:numPr>
          <w:ilvl w:val="0"/>
          <w:numId w:val="12"/>
        </w:numPr>
      </w:pPr>
      <w:r>
        <w:rPr>
          <w:b/>
          <w:bCs/>
        </w:rPr>
        <w:t>Riduzione dei rifiuti</w:t>
      </w:r>
      <w:r>
        <w:t>: nel processo di approvvigionamento dovrebbe essere integrato un piano di gestione dei rifiuti che garantisca la riduzione al minimo dei rifiuti da costruzione e il riciclaggio o il riutilizzo dei materiali. Saranno privilegiati i fornitori che offrono prodotti con imballaggi minimi e materiali riciclabili.</w:t>
      </w:r>
    </w:p>
    <w:p w14:paraId="59002F68" w14:textId="77777777" w:rsidR="0089182E" w:rsidRDefault="00000000">
      <w:pPr>
        <w:numPr>
          <w:ilvl w:val="0"/>
          <w:numId w:val="12"/>
        </w:numPr>
      </w:pPr>
      <w:r>
        <w:rPr>
          <w:b/>
          <w:bCs/>
        </w:rPr>
        <w:t>Criteri di sostenibilità</w:t>
      </w:r>
      <w:r>
        <w:t>: tutte le aziende fornitrici devono soddisfare determinati criteri di sostenibilità, tra cui</w:t>
      </w:r>
    </w:p>
    <w:p w14:paraId="77277BF3" w14:textId="77777777" w:rsidR="0089182E" w:rsidRDefault="00000000">
      <w:pPr>
        <w:numPr>
          <w:ilvl w:val="1"/>
          <w:numId w:val="12"/>
        </w:numPr>
      </w:pPr>
      <w:r>
        <w:rPr>
          <w:b/>
          <w:bCs/>
        </w:rPr>
        <w:t>Approvvigionamento di materiali sostenibili</w:t>
      </w:r>
      <w:r>
        <w:t>: utilizzo di materiali certificati secondo standard di sostenibilità riconosciuti (ad es. legno certificato FSC, calcestruzzo a basse emissioni di carbonio).</w:t>
      </w:r>
    </w:p>
    <w:p w14:paraId="40CB0AF2" w14:textId="77777777" w:rsidR="0089182E" w:rsidRDefault="00000000">
      <w:pPr>
        <w:numPr>
          <w:ilvl w:val="1"/>
          <w:numId w:val="12"/>
        </w:numPr>
      </w:pPr>
      <w:r>
        <w:rPr>
          <w:b/>
          <w:bCs/>
        </w:rPr>
        <w:t>Impatto ambientale</w:t>
      </w:r>
      <w:r>
        <w:t>: prodotti con un basso impatto ambientale durante il loro ciclo di vita, ad esempio basse emissioni di COV (composti organici volatili) nelle vernici e nelle lacche.</w:t>
      </w:r>
    </w:p>
    <w:p w14:paraId="486FAE85" w14:textId="77777777" w:rsidR="0089182E" w:rsidRDefault="00000000">
      <w:pPr>
        <w:numPr>
          <w:ilvl w:val="1"/>
          <w:numId w:val="12"/>
        </w:numPr>
      </w:pPr>
      <w:r>
        <w:rPr>
          <w:b/>
          <w:bCs/>
        </w:rPr>
        <w:t>Considerazioni relative alla fine del ciclo di vita</w:t>
      </w:r>
      <w:r>
        <w:t>: preferenza per prodotti che possono essere smontati o riciclati alla fine del loro ciclo di vita.</w:t>
      </w:r>
    </w:p>
    <w:p w14:paraId="7F86FE87" w14:textId="77777777" w:rsidR="0089182E" w:rsidRDefault="0089182E">
      <w:pPr>
        <w:rPr>
          <w:b/>
          <w:bCs/>
        </w:rPr>
      </w:pPr>
    </w:p>
    <w:p w14:paraId="78DF758E" w14:textId="77777777" w:rsidR="0089182E" w:rsidRDefault="00000000">
      <w:r>
        <w:rPr>
          <w:b/>
          <w:bCs/>
        </w:rPr>
        <w:t>Requisiti legali:</w:t>
      </w:r>
    </w:p>
    <w:p w14:paraId="2FADB3CF" w14:textId="77777777" w:rsidR="0089182E" w:rsidRDefault="00000000">
      <w:pPr>
        <w:numPr>
          <w:ilvl w:val="0"/>
          <w:numId w:val="2"/>
        </w:numPr>
      </w:pPr>
      <w:r>
        <w:rPr>
          <w:b/>
          <w:bCs/>
        </w:rPr>
        <w:t>Direttive UE</w:t>
      </w:r>
      <w:r>
        <w:t xml:space="preserve">: il progetto deve essere conforme alla </w:t>
      </w:r>
      <w:r>
        <w:rPr>
          <w:b/>
          <w:bCs/>
        </w:rPr>
        <w:t xml:space="preserve">direttiva UE 2014/24/UE </w:t>
      </w:r>
      <w:r>
        <w:t>sugli appalti pubblici, che include considerazioni sulle pratiche di approvvigionamento sostenibile e promuove l’integrazione di criteri ambientali nelle procedure di appalto.</w:t>
      </w:r>
    </w:p>
    <w:p w14:paraId="35D7E357" w14:textId="77777777" w:rsidR="0089182E" w:rsidRDefault="00000000">
      <w:pPr>
        <w:numPr>
          <w:ilvl w:val="0"/>
          <w:numId w:val="2"/>
        </w:numPr>
      </w:pPr>
      <w:r>
        <w:rPr>
          <w:b/>
          <w:bCs/>
        </w:rPr>
        <w:t>Legislazione ambientale nazionale</w:t>
      </w:r>
      <w:r>
        <w:t xml:space="preserve">: il progetto deve rispettare la legislazione nazionale in materia di efficienza energetica degli edifici, in particolare </w:t>
      </w:r>
      <w:r>
        <w:rPr>
          <w:b/>
          <w:bCs/>
        </w:rPr>
        <w:t xml:space="preserve">la direttiva sul rendimento energetico nell’edilizia </w:t>
      </w:r>
      <w:r>
        <w:t>(EPBD), che mira a raggiungere un parco immobiliare altamente efficiente dal punto di vista energetico e decarbonizzato entro il 2050. Deve inoltre soddisfare le norme edilizie locali in materia di gestione dei rifiuti e sostenibilità ambientale.</w:t>
      </w:r>
    </w:p>
    <w:p w14:paraId="363963F6" w14:textId="77777777" w:rsidR="0089182E" w:rsidRDefault="00000000">
      <w:pPr>
        <w:numPr>
          <w:ilvl w:val="0"/>
          <w:numId w:val="2"/>
        </w:numPr>
      </w:pPr>
      <w:r>
        <w:rPr>
          <w:b/>
          <w:bCs/>
        </w:rPr>
        <w:t>Accordi internazionali</w:t>
      </w:r>
      <w:r>
        <w:t xml:space="preserve">: è essenziale il rispetto degli accordi internazionali come </w:t>
      </w:r>
      <w:r>
        <w:rPr>
          <w:b/>
          <w:bCs/>
        </w:rPr>
        <w:t>l’Accordo di Parigi</w:t>
      </w:r>
      <w:r>
        <w:t>. Il progetto deve ridurre la sua impronta di carbonio e contribuire all’obiettivo di neutralità carbonica del comune entro il 2030.</w:t>
      </w:r>
    </w:p>
    <w:p w14:paraId="52BCA8A9" w14:textId="77777777" w:rsidR="0089182E" w:rsidRDefault="00000000">
      <w:pPr>
        <w:numPr>
          <w:ilvl w:val="0"/>
          <w:numId w:val="2"/>
        </w:numPr>
      </w:pPr>
      <w:r>
        <w:rPr>
          <w:b/>
          <w:bCs/>
        </w:rPr>
        <w:t>Obiettivi di sostenibilità locali</w:t>
      </w:r>
      <w:r>
        <w:t xml:space="preserve">: la città si è impegnata a raggiungere </w:t>
      </w:r>
      <w:r>
        <w:rPr>
          <w:b/>
          <w:bCs/>
        </w:rPr>
        <w:t>l’obiettivo “zero rifiuti</w:t>
      </w:r>
      <w:r>
        <w:t xml:space="preserve">” entro il 2040 e tutti i progetti di edilizia pubblica devono essere in </w:t>
      </w:r>
      <w:r>
        <w:lastRenderedPageBreak/>
        <w:t>linea con questo obiettivo, tenendo conto dei principi di riduzione dei rifiuti e di economia circolare.</w:t>
      </w:r>
    </w:p>
    <w:p w14:paraId="2A9F427F" w14:textId="77777777" w:rsidR="0089182E" w:rsidRDefault="0089182E">
      <w:pPr>
        <w:rPr>
          <w:b/>
          <w:bCs/>
        </w:rPr>
      </w:pPr>
    </w:p>
    <w:p w14:paraId="3AC6D994" w14:textId="77777777" w:rsidR="0089182E" w:rsidRDefault="00000000">
      <w:r>
        <w:rPr>
          <w:b/>
          <w:bCs/>
        </w:rPr>
        <w:t>Sfide:</w:t>
      </w:r>
    </w:p>
    <w:p w14:paraId="7995DBA1" w14:textId="77777777" w:rsidR="0089182E" w:rsidRDefault="00000000">
      <w:pPr>
        <w:numPr>
          <w:ilvl w:val="0"/>
          <w:numId w:val="3"/>
        </w:numPr>
      </w:pPr>
      <w:r>
        <w:rPr>
          <w:b/>
          <w:bCs/>
        </w:rPr>
        <w:t>Incertezza sulle capacità di mercato</w:t>
      </w:r>
      <w:r>
        <w:t>: nonostante il crescente interesse per le pratiche di costruzione sostenibili, il mercato dei materiali da costruzione ecologici nella regione non è ancora pienamente sviluppato. Molti fornitori potrebbero non avere l’esperienza o la capacità necessarie per soddisfare gli elevati standard di sostenibilità del comune, rendendo difficile reperire i materiali richiesti.</w:t>
      </w:r>
    </w:p>
    <w:p w14:paraId="051799AA" w14:textId="77777777" w:rsidR="0089182E" w:rsidRDefault="00000000">
      <w:pPr>
        <w:numPr>
          <w:ilvl w:val="0"/>
          <w:numId w:val="3"/>
        </w:numPr>
      </w:pPr>
      <w:r>
        <w:rPr>
          <w:b/>
          <w:bCs/>
        </w:rPr>
        <w:t>Base di fornitori limitata</w:t>
      </w:r>
      <w:r>
        <w:t>: il numero di fornitori disponibili di materiali da costruzione sostenibili è limitato, soprattutto quando si tratta di soddisfare elevati criteri di sostenibilità. Ciò può portare a una mancanza di concorrenza e a prezzi potenzialmente più elevati.</w:t>
      </w:r>
    </w:p>
    <w:p w14:paraId="756ED111" w14:textId="77777777" w:rsidR="0089182E" w:rsidRDefault="00000000">
      <w:pPr>
        <w:numPr>
          <w:ilvl w:val="0"/>
          <w:numId w:val="3"/>
        </w:numPr>
      </w:pPr>
      <w:r>
        <w:rPr>
          <w:b/>
          <w:bCs/>
        </w:rPr>
        <w:t>Difficoltà nella definizione delle specifiche tecniche</w:t>
      </w:r>
      <w:r>
        <w:t xml:space="preserve">: mancano specifiche tecniche dettagliate per alcuni materiali e sistemi innovativi, come finestre ad alta efficienza energetica e materiali isolanti atossici. Definire criteri chiari e misurabili per questi prodotti, garantendo al contempo la conformità con gli obiettivi di sostenibilità e gli standard di prestazione degli edifici, rappresenta una sfida significativa per </w:t>
      </w:r>
      <w:proofErr w:type="gramStart"/>
      <w:r>
        <w:t>il team</w:t>
      </w:r>
      <w:proofErr w:type="gramEnd"/>
      <w:r>
        <w:t xml:space="preserve"> di approvvigionamento.</w:t>
      </w:r>
    </w:p>
    <w:p w14:paraId="37576FDD" w14:textId="77777777" w:rsidR="0089182E" w:rsidRDefault="00000000">
      <w:pPr>
        <w:numPr>
          <w:ilvl w:val="0"/>
          <w:numId w:val="3"/>
        </w:numPr>
      </w:pPr>
      <w:r>
        <w:rPr>
          <w:b/>
          <w:bCs/>
        </w:rPr>
        <w:t>Equilibrio tra costi e sostenibilità</w:t>
      </w:r>
      <w:r>
        <w:t xml:space="preserve">: sebbene il comune sia impegnato nella sostenibilità, è comunque necessario gestire il budget del progetto. </w:t>
      </w:r>
      <w:proofErr w:type="gramStart"/>
      <w:r>
        <w:t>Il team addetto</w:t>
      </w:r>
      <w:proofErr w:type="gramEnd"/>
      <w:r>
        <w:t xml:space="preserve"> agli appalti è sotto pressione per conciliare i costi dei materiali sostenibili con i vincoli di bilancio, soprattutto quando le opzioni più sostenibili possono essere significativamente più costose rispetto alle alternative convenzionali.</w:t>
      </w:r>
    </w:p>
    <w:p w14:paraId="306B4056" w14:textId="77777777" w:rsidR="0089182E" w:rsidRDefault="00000000">
      <w:pPr>
        <w:numPr>
          <w:ilvl w:val="0"/>
          <w:numId w:val="3"/>
        </w:numPr>
      </w:pPr>
      <w:r>
        <w:rPr>
          <w:b/>
          <w:bCs/>
        </w:rPr>
        <w:t>Normative in evoluzione</w:t>
      </w:r>
      <w:r>
        <w:t xml:space="preserve">: poiché le normative in materia di sostenibilità sono in continua evoluzione, sia a livello nazionale che europeo, </w:t>
      </w:r>
      <w:proofErr w:type="gramStart"/>
      <w:r>
        <w:t>il team addetto</w:t>
      </w:r>
      <w:proofErr w:type="gramEnd"/>
      <w:r>
        <w:t xml:space="preserve"> agli acquisti deve tenersi aggiornato su tali cambiamenti per garantire la conformità alle normative. L’incertezza sulle normative future potrebbe anche rendere difficile valutare la sostenibilità a lungo termine di alcune delle decisioni prese oggi.</w:t>
      </w:r>
    </w:p>
    <w:p w14:paraId="1D8FEEEC" w14:textId="77777777" w:rsidR="0089182E" w:rsidRDefault="0089182E"/>
    <w:p w14:paraId="35CD98BF" w14:textId="77777777" w:rsidR="0089182E" w:rsidRDefault="0089182E"/>
    <w:sectPr w:rsidR="0089182E">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8590A" w14:textId="77777777" w:rsidR="00855AE3" w:rsidRDefault="00855AE3">
      <w:r>
        <w:separator/>
      </w:r>
    </w:p>
  </w:endnote>
  <w:endnote w:type="continuationSeparator" w:id="0">
    <w:p w14:paraId="438C67E0" w14:textId="77777777" w:rsidR="00855AE3" w:rsidRDefault="0085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FECF9C97-2478-6245-8600-F91558B70AA4}"/>
  </w:font>
  <w:font w:name="Noto Sans Symbols">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3" w:fontKey="{63EBBD24-967E-7044-88B4-325FADBF3CD8}"/>
    <w:embedBold r:id="rId4" w:fontKey="{FB515CFC-6F30-C848-8487-DD8632AEB90E}"/>
    <w:embedItalic r:id="rId5" w:fontKey="{8EF70EDF-76A3-1941-B98D-2A6EF95DC153}"/>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4D930C72-CB30-4B48-B89E-9F59C3070FC2}"/>
  </w:font>
  <w:font w:name="Aptos Serif">
    <w:panose1 w:val="02020604070405020304"/>
    <w:charset w:val="00"/>
    <w:family w:val="roman"/>
    <w:pitch w:val="variable"/>
    <w:sig w:usb0="A11526FF" w:usb1="C000ECFB" w:usb2="00010000" w:usb3="00000000" w:csb0="0000019F" w:csb1="00000000"/>
    <w:embedRegular r:id="rId8" w:fontKey="{D03412B4-E6D4-9D42-84D1-D07839D3263C}"/>
  </w:font>
  <w:font w:name="Calibri">
    <w:panose1 w:val="020F0502020204030204"/>
    <w:charset w:val="00"/>
    <w:family w:val="swiss"/>
    <w:pitch w:val="variable"/>
    <w:sig w:usb0="E4002EFF" w:usb1="C200247B" w:usb2="00000009" w:usb3="00000000" w:csb0="000001FF" w:csb1="00000000"/>
    <w:embedRegular r:id="rId9" w:fontKey="{9C77DC23-9C90-7F41-A4E6-5A80F0C7B2DD}"/>
  </w:font>
  <w:font w:name="Cambria">
    <w:panose1 w:val="02040503050406030204"/>
    <w:charset w:val="00"/>
    <w:family w:val="roman"/>
    <w:notTrueType/>
    <w:pitch w:val="default"/>
    <w:embedRegular r:id="rId10" w:fontKey="{2EDCD3DB-6D18-A34B-828D-4C0D3FB6F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D9CC" w14:textId="77777777" w:rsidR="0089182E" w:rsidRDefault="00000000">
    <w:pPr>
      <w:pBdr>
        <w:top w:val="nil"/>
        <w:left w:val="nil"/>
        <w:bottom w:val="nil"/>
        <w:right w:val="nil"/>
        <w:between w:val="nil"/>
      </w:pBdr>
      <w:tabs>
        <w:tab w:val="center" w:pos="4536"/>
        <w:tab w:val="right" w:pos="9072"/>
      </w:tabs>
      <w:jc w:val="both"/>
      <w:rPr>
        <w:color w:val="000000"/>
        <w:sz w:val="13"/>
        <w:szCs w:val="13"/>
      </w:rPr>
    </w:pPr>
    <w:r>
      <w:rPr>
        <w:noProof/>
        <w:color w:val="000000"/>
        <w:sz w:val="13"/>
        <w:szCs w:val="13"/>
      </w:rPr>
      <w:drawing>
        <wp:inline distT="0" distB="0" distL="0" distR="0" wp14:anchorId="5FEEC632" wp14:editId="62ACA59A">
          <wp:extent cx="3810000" cy="1508760"/>
          <wp:effectExtent l="0" t="0" r="0" b="2540"/>
          <wp:docPr id="2" name="image1.png" descr="Ein Bild, das Text, Screensho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Text, Screenshot, Schrift enthält.&#10;&#10;KI-generierte Inhalte können fehlerhaft sein."/>
                  <pic:cNvPicPr preferRelativeResize="0"/>
                </pic:nvPicPr>
                <pic:blipFill>
                  <a:blip r:embed="rId1"/>
                  <a:srcRect/>
                  <a:stretch>
                    <a:fillRect/>
                  </a:stretch>
                </pic:blipFill>
                <pic:spPr>
                  <a:xfrm>
                    <a:off x="0" y="0"/>
                    <a:ext cx="3810034" cy="150877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26560" w14:textId="77777777" w:rsidR="00855AE3" w:rsidRDefault="00855AE3">
      <w:r>
        <w:separator/>
      </w:r>
    </w:p>
  </w:footnote>
  <w:footnote w:type="continuationSeparator" w:id="0">
    <w:p w14:paraId="468C17FC" w14:textId="77777777" w:rsidR="00855AE3" w:rsidRDefault="00855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A056" w14:textId="77777777" w:rsidR="0089182E"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6673BB32" wp14:editId="00E157B7">
          <wp:simplePos x="0" y="0"/>
          <wp:positionH relativeFrom="column">
            <wp:posOffset>5234305</wp:posOffset>
          </wp:positionH>
          <wp:positionV relativeFrom="paragraph">
            <wp:posOffset>-118744</wp:posOffset>
          </wp:positionV>
          <wp:extent cx="1089555" cy="570865"/>
          <wp:effectExtent l="0" t="0" r="0" b="0"/>
          <wp:wrapSquare wrapText="bothSides" distT="0" distB="0" distL="114300" distR="114300"/>
          <wp:docPr id="1" name="image2.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027F"/>
    <w:multiLevelType w:val="multilevel"/>
    <w:tmpl w:val="FD5405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9023F7"/>
    <w:multiLevelType w:val="multilevel"/>
    <w:tmpl w:val="E2E2A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646A0"/>
    <w:multiLevelType w:val="multilevel"/>
    <w:tmpl w:val="4454B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D14847"/>
    <w:multiLevelType w:val="multilevel"/>
    <w:tmpl w:val="FFDC34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A2F1146"/>
    <w:multiLevelType w:val="multilevel"/>
    <w:tmpl w:val="A7107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17E2429"/>
    <w:multiLevelType w:val="multilevel"/>
    <w:tmpl w:val="F73EC4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31F22CC"/>
    <w:multiLevelType w:val="multilevel"/>
    <w:tmpl w:val="42064F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E40157"/>
    <w:multiLevelType w:val="multilevel"/>
    <w:tmpl w:val="1794D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902F54"/>
    <w:multiLevelType w:val="multilevel"/>
    <w:tmpl w:val="B5DC6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2B25B99"/>
    <w:multiLevelType w:val="multilevel"/>
    <w:tmpl w:val="AD646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4012D79"/>
    <w:multiLevelType w:val="multilevel"/>
    <w:tmpl w:val="7B422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5853B87"/>
    <w:multiLevelType w:val="multilevel"/>
    <w:tmpl w:val="EADCA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87191466">
    <w:abstractNumId w:val="0"/>
  </w:num>
  <w:num w:numId="2" w16cid:durableId="101338622">
    <w:abstractNumId w:val="1"/>
  </w:num>
  <w:num w:numId="3" w16cid:durableId="96295375">
    <w:abstractNumId w:val="6"/>
  </w:num>
  <w:num w:numId="4" w16cid:durableId="2097364557">
    <w:abstractNumId w:val="7"/>
  </w:num>
  <w:num w:numId="5" w16cid:durableId="475882397">
    <w:abstractNumId w:val="10"/>
  </w:num>
  <w:num w:numId="6" w16cid:durableId="346100305">
    <w:abstractNumId w:val="2"/>
  </w:num>
  <w:num w:numId="7" w16cid:durableId="1551915832">
    <w:abstractNumId w:val="3"/>
  </w:num>
  <w:num w:numId="8" w16cid:durableId="1017392782">
    <w:abstractNumId w:val="9"/>
  </w:num>
  <w:num w:numId="9" w16cid:durableId="670258022">
    <w:abstractNumId w:val="11"/>
  </w:num>
  <w:num w:numId="10" w16cid:durableId="2077320437">
    <w:abstractNumId w:val="4"/>
  </w:num>
  <w:num w:numId="11" w16cid:durableId="1523280981">
    <w:abstractNumId w:val="8"/>
  </w:num>
  <w:num w:numId="12" w16cid:durableId="1771780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82E"/>
    <w:rsid w:val="005E7428"/>
    <w:rsid w:val="00855AE3"/>
    <w:rsid w:val="0089182E"/>
    <w:rsid w:val="00CF79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C441504"/>
  <w15:docId w15:val="{2C2B7F67-B37F-5F46-80F8-588616F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outlineLvl w:val="5"/>
    </w:pPr>
    <w:rPr>
      <w:i/>
      <w:iC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pPr>
    <w:rPr>
      <w:rFonts w:ascii="Play" w:eastAsia="Play" w:hAnsi="Play" w:cs="Play"/>
      <w:sz w:val="56"/>
      <w:szCs w:val="56"/>
    </w:rPr>
  </w:style>
  <w:style w:type="paragraph" w:styleId="Untertitel">
    <w:name w:val="Subtitle"/>
    <w:basedOn w:val="Standard"/>
    <w:next w:val="Standard"/>
    <w:uiPriority w:val="11"/>
    <w:qFormat/>
    <w:pPr>
      <w:spacing w:after="160"/>
    </w:pPr>
    <w:rPr>
      <w:color w:val="595959"/>
      <w:sz w:val="28"/>
      <w:szCs w:val="28"/>
    </w:rPr>
  </w:style>
  <w:style w:type="paragraph" w:styleId="Kopfzeile">
    <w:name w:val="header"/>
    <w:basedOn w:val="Standard"/>
    <w:link w:val="KopfzeileZchn"/>
    <w:uiPriority w:val="99"/>
    <w:unhideWhenUsed/>
    <w:rsid w:val="00CF79CE"/>
    <w:pPr>
      <w:tabs>
        <w:tab w:val="center" w:pos="4536"/>
        <w:tab w:val="right" w:pos="9072"/>
      </w:tabs>
    </w:pPr>
  </w:style>
  <w:style w:type="character" w:customStyle="1" w:styleId="KopfzeileZchn">
    <w:name w:val="Kopfzeile Zchn"/>
    <w:basedOn w:val="Absatz-Standardschriftart"/>
    <w:link w:val="Kopfzeile"/>
    <w:uiPriority w:val="99"/>
    <w:rsid w:val="00CF79CE"/>
  </w:style>
  <w:style w:type="paragraph" w:styleId="Fuzeile">
    <w:name w:val="footer"/>
    <w:basedOn w:val="Standard"/>
    <w:link w:val="FuzeileZchn"/>
    <w:uiPriority w:val="99"/>
    <w:unhideWhenUsed/>
    <w:rsid w:val="00CF79CE"/>
    <w:pPr>
      <w:tabs>
        <w:tab w:val="center" w:pos="4536"/>
        <w:tab w:val="right" w:pos="9072"/>
      </w:tabs>
    </w:pPr>
  </w:style>
  <w:style w:type="character" w:customStyle="1" w:styleId="FuzeileZchn">
    <w:name w:val="Fußzeile Zchn"/>
    <w:basedOn w:val="Absatz-Standardschriftart"/>
    <w:link w:val="Fuzeile"/>
    <w:uiPriority w:val="99"/>
    <w:rsid w:val="00CF7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uRdj9YU31un97fscXGKETbb6w==">CgMxLjA4AHIhMTZOZmpVNlFtNS1BMXhnUHFta3NoMTFoTDYxcVZZMmFO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3205</Words>
  <Characters>20198</Characters>
  <Application>Microsoft Office Word</Application>
  <DocSecurity>0</DocSecurity>
  <Lines>168</Lines>
  <Paragraphs>46</Paragraphs>
  <ScaleCrop>false</ScaleCrop>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Henrieta Winklhofer</cp:lastModifiedBy>
  <cp:revision>2</cp:revision>
  <dcterms:created xsi:type="dcterms:W3CDTF">2026-04-30T09:58:00Z</dcterms:created>
  <dcterms:modified xsi:type="dcterms:W3CDTF">2026-04-30T09:58:00Z</dcterms:modified>
</cp:coreProperties>
</file>