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8D4ECE" w14:textId="01F5A5EC" w:rsidR="006441BD" w:rsidRPr="00556141" w:rsidRDefault="006441BD" w:rsidP="001F159E">
      <w:pPr>
        <w:rPr>
          <w:rFonts w:ascii="Aptos Serif" w:eastAsiaTheme="majorEastAsia" w:hAnsi="Aptos Serif" w:cs="Aptos Serif"/>
          <w:color w:val="0F4761" w:themeColor="accent1" w:themeShade="BF"/>
          <w:sz w:val="40"/>
          <w:szCs w:val="40"/>
          <w:lang w:val="it-IT"/>
        </w:rPr>
      </w:pPr>
      <w:r w:rsidRPr="00556141">
        <w:rPr>
          <w:rFonts w:ascii="Aptos Serif" w:eastAsiaTheme="majorEastAsia" w:hAnsi="Aptos Serif" w:cs="Aptos Serif"/>
          <w:color w:val="0F4761" w:themeColor="accent1" w:themeShade="BF"/>
          <w:sz w:val="40"/>
          <w:szCs w:val="40"/>
          <w:lang w:val="it-IT"/>
        </w:rPr>
        <w:t xml:space="preserve">Esercizio relativo al </w:t>
      </w:r>
      <w:r w:rsidR="00FC3822" w:rsidRPr="00556141">
        <w:rPr>
          <w:rFonts w:ascii="Aptos Serif" w:eastAsiaTheme="majorEastAsia" w:hAnsi="Aptos Serif" w:cs="Aptos Serif"/>
          <w:color w:val="0F4761" w:themeColor="accent1" w:themeShade="BF"/>
          <w:sz w:val="40"/>
          <w:szCs w:val="40"/>
          <w:lang w:val="it-IT"/>
        </w:rPr>
        <w:t>modulo Train-the-Trainer</w:t>
      </w:r>
    </w:p>
    <w:p w14:paraId="7F230E49" w14:textId="31E69B96" w:rsidR="00FC3822" w:rsidRPr="00556141" w:rsidRDefault="0058326F" w:rsidP="001F159E">
      <w:pPr>
        <w:rPr>
          <w:rFonts w:ascii="Aptos Serif" w:eastAsiaTheme="majorEastAsia" w:hAnsi="Aptos Serif" w:cs="Aptos Serif"/>
          <w:color w:val="0F4761" w:themeColor="accent1" w:themeShade="BF"/>
          <w:sz w:val="40"/>
          <w:szCs w:val="40"/>
          <w:lang w:val="it-IT"/>
        </w:rPr>
      </w:pPr>
      <w:r w:rsidRPr="00556141">
        <w:rPr>
          <w:rFonts w:ascii="Aptos Serif" w:eastAsiaTheme="majorEastAsia" w:hAnsi="Aptos Serif" w:cs="Aptos Serif"/>
          <w:color w:val="0F4761" w:themeColor="accent1" w:themeShade="BF"/>
          <w:sz w:val="40"/>
          <w:szCs w:val="40"/>
          <w:lang w:val="it-IT"/>
        </w:rPr>
        <w:t>“</w:t>
      </w:r>
      <w:r w:rsidR="00FC3822" w:rsidRPr="00556141">
        <w:rPr>
          <w:rFonts w:ascii="Aptos Serif" w:eastAsiaTheme="majorEastAsia" w:hAnsi="Aptos Serif" w:cs="Aptos Serif"/>
          <w:color w:val="0F4761" w:themeColor="accent1" w:themeShade="BF"/>
          <w:sz w:val="40"/>
          <w:szCs w:val="40"/>
          <w:lang w:val="it-IT"/>
        </w:rPr>
        <w:t>Contesto giuridico e politico</w:t>
      </w:r>
      <w:r w:rsidRPr="00556141">
        <w:rPr>
          <w:rFonts w:ascii="Aptos Serif" w:eastAsiaTheme="majorEastAsia" w:hAnsi="Aptos Serif" w:cs="Aptos Serif"/>
          <w:color w:val="0F4761" w:themeColor="accent1" w:themeShade="BF"/>
          <w:sz w:val="40"/>
          <w:szCs w:val="40"/>
          <w:lang w:val="it-IT"/>
        </w:rPr>
        <w:t>”</w:t>
      </w:r>
    </w:p>
    <w:p w14:paraId="185FD02C" w14:textId="2E3DFA87" w:rsidR="00FC3822" w:rsidRPr="00556141" w:rsidRDefault="0058326F" w:rsidP="001F159E">
      <w:pPr>
        <w:rPr>
          <w:b/>
          <w:bCs/>
          <w:lang w:val="it-IT"/>
        </w:rPr>
      </w:pPr>
      <w:r w:rsidRPr="00556141">
        <w:rPr>
          <w:b/>
          <w:bCs/>
          <w:lang w:val="it-IT"/>
        </w:rPr>
        <w:t>“</w:t>
      </w:r>
      <w:r w:rsidR="00FC3822" w:rsidRPr="00556141">
        <w:rPr>
          <w:b/>
          <w:bCs/>
          <w:lang w:val="it-IT"/>
        </w:rPr>
        <w:t xml:space="preserve">Sostenibilità </w:t>
      </w:r>
      <w:r w:rsidR="000E1AA4" w:rsidRPr="00556141">
        <w:rPr>
          <w:b/>
          <w:bCs/>
          <w:lang w:val="it-IT"/>
        </w:rPr>
        <w:t>negli appalti pubblici</w:t>
      </w:r>
      <w:r w:rsidR="00FC3822" w:rsidRPr="00556141">
        <w:rPr>
          <w:b/>
          <w:bCs/>
          <w:lang w:val="it-IT"/>
        </w:rPr>
        <w:t>: legalmente ineccepibile</w:t>
      </w:r>
      <w:r w:rsidRPr="00556141">
        <w:rPr>
          <w:b/>
          <w:bCs/>
          <w:lang w:val="it-IT"/>
        </w:rPr>
        <w:t>”</w:t>
      </w:r>
    </w:p>
    <w:p w14:paraId="5CD4236F" w14:textId="3137712C" w:rsidR="001F159E" w:rsidRDefault="001F159E" w:rsidP="001F159E">
      <w:pPr>
        <w:rPr>
          <w:lang w:val="it-IT"/>
        </w:rPr>
      </w:pPr>
      <w:r w:rsidRPr="00556141">
        <w:rPr>
          <w:b/>
          <w:bCs/>
          <w:lang w:val="it-IT"/>
        </w:rPr>
        <w:t xml:space="preserve">Modulo: </w:t>
      </w:r>
      <w:r w:rsidR="00FC3822" w:rsidRPr="00556141">
        <w:rPr>
          <w:lang w:val="it-IT"/>
        </w:rPr>
        <w:t>Contesto giuridico e politico</w:t>
      </w:r>
      <w:r w:rsidRPr="00556141">
        <w:rPr>
          <w:lang w:val="it-IT"/>
        </w:rPr>
        <w:br/>
      </w:r>
      <w:r w:rsidR="00FC3822" w:rsidRPr="00556141">
        <w:rPr>
          <w:b/>
          <w:bCs/>
          <w:lang w:val="it-IT"/>
        </w:rPr>
        <w:t>Durata</w:t>
      </w:r>
      <w:r w:rsidRPr="00556141">
        <w:rPr>
          <w:b/>
          <w:bCs/>
          <w:lang w:val="it-IT"/>
        </w:rPr>
        <w:t>:</w:t>
      </w:r>
      <w:r w:rsidR="002B43FA" w:rsidRPr="00556141">
        <w:rPr>
          <w:lang w:val="it-IT"/>
        </w:rPr>
        <w:t xml:space="preserve"> 30 </w:t>
      </w:r>
      <w:r w:rsidR="00FC3822" w:rsidRPr="00556141">
        <w:rPr>
          <w:lang w:val="it-IT"/>
        </w:rPr>
        <w:t>minuti</w:t>
      </w:r>
      <w:r w:rsidRPr="00556141">
        <w:rPr>
          <w:lang w:val="it-IT"/>
        </w:rPr>
        <w:br/>
      </w:r>
      <w:r w:rsidR="00FC3822" w:rsidRPr="00556141">
        <w:rPr>
          <w:b/>
          <w:bCs/>
          <w:lang w:val="it-IT"/>
        </w:rPr>
        <w:t>Dimensione del gruppo</w:t>
      </w:r>
      <w:r w:rsidRPr="00556141">
        <w:rPr>
          <w:b/>
          <w:bCs/>
          <w:lang w:val="it-IT"/>
        </w:rPr>
        <w:t xml:space="preserve">: </w:t>
      </w:r>
      <w:r w:rsidR="000E1AA4" w:rsidRPr="00556141">
        <w:rPr>
          <w:lang w:val="it-IT"/>
        </w:rPr>
        <w:t>in base a</w:t>
      </w:r>
      <w:r w:rsidR="00FC3822" w:rsidRPr="00556141">
        <w:rPr>
          <w:lang w:val="it-IT"/>
        </w:rPr>
        <w:t>l numero di partecipanti (3-5 partecipanti per gruppo)</w:t>
      </w:r>
      <w:r w:rsidRPr="00556141">
        <w:rPr>
          <w:lang w:val="it-IT"/>
        </w:rPr>
        <w:br/>
      </w:r>
      <w:r w:rsidR="00FC3822" w:rsidRPr="00556141">
        <w:rPr>
          <w:lang w:val="it-IT"/>
        </w:rPr>
        <w:t>O</w:t>
      </w:r>
      <w:r w:rsidR="00FC3822" w:rsidRPr="00556141">
        <w:rPr>
          <w:b/>
          <w:bCs/>
          <w:lang w:val="it-IT"/>
        </w:rPr>
        <w:t>biettivo</w:t>
      </w:r>
      <w:r w:rsidRPr="00556141">
        <w:rPr>
          <w:b/>
          <w:bCs/>
          <w:lang w:val="it-IT"/>
        </w:rPr>
        <w:t xml:space="preserve">: </w:t>
      </w:r>
      <w:r w:rsidR="00FC3822" w:rsidRPr="00556141">
        <w:rPr>
          <w:lang w:val="it-IT"/>
        </w:rPr>
        <w:t>i partecipanti imparano a identificare le possibilità legalmente ammissibili per l</w:t>
      </w:r>
      <w:r w:rsidR="0058326F" w:rsidRPr="00556141">
        <w:rPr>
          <w:lang w:val="it-IT"/>
        </w:rPr>
        <w:t>’</w:t>
      </w:r>
      <w:r w:rsidR="00FC3822" w:rsidRPr="00556141">
        <w:rPr>
          <w:lang w:val="it-IT"/>
        </w:rPr>
        <w:t>integrazione dei criteri di sostenibilità nei documenti di gara e a distinguere tra pratiche legalmente ineccepibili e pratiche rischiose o illegali.</w:t>
      </w:r>
    </w:p>
    <w:p w14:paraId="30939758" w14:textId="77777777" w:rsidR="008F7A42" w:rsidRPr="00556141" w:rsidRDefault="008F7A42" w:rsidP="001F159E">
      <w:pPr>
        <w:rPr>
          <w:lang w:val="it-IT"/>
        </w:rPr>
      </w:pPr>
    </w:p>
    <w:p w14:paraId="74D3AA31" w14:textId="7FCE65ED" w:rsidR="001F159E" w:rsidRPr="00556141" w:rsidRDefault="001F159E" w:rsidP="00702CC3">
      <w:pPr>
        <w:pStyle w:val="berschrift2"/>
        <w:rPr>
          <w:rFonts w:asciiTheme="minorHAnsi" w:hAnsiTheme="minorHAnsi"/>
          <w:lang w:val="it-IT"/>
        </w:rPr>
      </w:pPr>
      <w:r w:rsidRPr="00556141">
        <w:rPr>
          <w:rFonts w:asciiTheme="minorHAnsi" w:hAnsiTheme="minorHAnsi"/>
          <w:lang w:val="it-IT"/>
        </w:rPr>
        <w:t xml:space="preserve">1. </w:t>
      </w:r>
      <w:r w:rsidR="00CC0C3D" w:rsidRPr="00556141">
        <w:rPr>
          <w:rFonts w:asciiTheme="minorHAnsi" w:hAnsiTheme="minorHAnsi"/>
          <w:lang w:val="it-IT"/>
        </w:rPr>
        <w:t>Obiettivi</w:t>
      </w:r>
    </w:p>
    <w:p w14:paraId="6ADF97AF" w14:textId="32B2BBF6" w:rsidR="00CC0C3D" w:rsidRPr="00556141" w:rsidRDefault="00CC0C3D" w:rsidP="00CC0C3D">
      <w:pPr>
        <w:rPr>
          <w:lang w:val="it-IT"/>
        </w:rPr>
      </w:pPr>
      <w:r w:rsidRPr="00556141">
        <w:rPr>
          <w:lang w:val="it-IT"/>
        </w:rPr>
        <w:t>Al termine dell</w:t>
      </w:r>
      <w:r w:rsidR="0058326F" w:rsidRPr="00556141">
        <w:rPr>
          <w:lang w:val="it-IT"/>
        </w:rPr>
        <w:t>’</w:t>
      </w:r>
      <w:r w:rsidRPr="00556141">
        <w:rPr>
          <w:lang w:val="it-IT"/>
        </w:rPr>
        <w:t>esercizio, i partecipanti saranno in grado di:</w:t>
      </w:r>
    </w:p>
    <w:p w14:paraId="7E8B3C48" w14:textId="01616382" w:rsidR="00CC0C3D" w:rsidRPr="00556141" w:rsidRDefault="00CC0C3D" w:rsidP="00CC0C3D">
      <w:pPr>
        <w:pStyle w:val="Listenabsatz"/>
        <w:numPr>
          <w:ilvl w:val="0"/>
          <w:numId w:val="13"/>
        </w:numPr>
        <w:rPr>
          <w:lang w:val="it-IT"/>
        </w:rPr>
      </w:pPr>
      <w:r w:rsidRPr="00556141">
        <w:rPr>
          <w:lang w:val="it-IT"/>
        </w:rPr>
        <w:t>Identificare le fasi del processo di appalto in cui è possibile integrare la sostenibilità (definizione delle esigenze, specifiche tecniche, criteri di aggiudicazione, clausole contrattuali).</w:t>
      </w:r>
    </w:p>
    <w:p w14:paraId="3F615F4E" w14:textId="1BB25ECF" w:rsidR="00CC0C3D" w:rsidRPr="00556141" w:rsidRDefault="00CC0C3D" w:rsidP="00CC0C3D">
      <w:pPr>
        <w:pStyle w:val="Listenabsatz"/>
        <w:numPr>
          <w:ilvl w:val="0"/>
          <w:numId w:val="13"/>
        </w:numPr>
        <w:rPr>
          <w:lang w:val="it-IT"/>
        </w:rPr>
      </w:pPr>
      <w:r w:rsidRPr="00556141">
        <w:rPr>
          <w:lang w:val="it-IT"/>
        </w:rPr>
        <w:t>Valutazione della compatibilità dei criteri di sostenibilità con i principi del diritto degli appalti pubblici (non discriminazione, trasparenza, proporzionalità, parità di trattamento).</w:t>
      </w:r>
    </w:p>
    <w:p w14:paraId="6A2A239D" w14:textId="3A69D73E" w:rsidR="00CC0C3D" w:rsidRPr="00556141" w:rsidRDefault="00CC0C3D" w:rsidP="00CC0C3D">
      <w:pPr>
        <w:pStyle w:val="Listenabsatz"/>
        <w:numPr>
          <w:ilvl w:val="0"/>
          <w:numId w:val="13"/>
        </w:numPr>
        <w:rPr>
          <w:lang w:val="it-IT"/>
        </w:rPr>
      </w:pPr>
      <w:r w:rsidRPr="00556141">
        <w:rPr>
          <w:lang w:val="it-IT"/>
        </w:rPr>
        <w:t xml:space="preserve">Formulazione di esempi di requisiti di sostenibilità </w:t>
      </w:r>
      <w:r w:rsidR="000E1AA4" w:rsidRPr="00556141">
        <w:rPr>
          <w:lang w:val="it-IT"/>
        </w:rPr>
        <w:t xml:space="preserve">conformi alla legge </w:t>
      </w:r>
      <w:r w:rsidRPr="00556141">
        <w:rPr>
          <w:lang w:val="it-IT"/>
        </w:rPr>
        <w:t>(</w:t>
      </w:r>
      <w:r w:rsidR="0058326F" w:rsidRPr="00556141">
        <w:rPr>
          <w:lang w:val="it-IT"/>
        </w:rPr>
        <w:t>“</w:t>
      </w:r>
      <w:r w:rsidRPr="00556141">
        <w:rPr>
          <w:lang w:val="it-IT"/>
        </w:rPr>
        <w:t>cosa fare</w:t>
      </w:r>
      <w:r w:rsidR="0058326F" w:rsidRPr="00556141">
        <w:rPr>
          <w:lang w:val="it-IT"/>
        </w:rPr>
        <w:t>”</w:t>
      </w:r>
      <w:r w:rsidRPr="00556141">
        <w:rPr>
          <w:lang w:val="it-IT"/>
        </w:rPr>
        <w:t xml:space="preserve">) e </w:t>
      </w:r>
      <w:proofErr w:type="spellStart"/>
      <w:r w:rsidR="000E1AA4" w:rsidRPr="00556141">
        <w:rPr>
          <w:lang w:val="it-IT"/>
        </w:rPr>
        <w:t>e</w:t>
      </w:r>
      <w:proofErr w:type="spellEnd"/>
      <w:r w:rsidR="000E1AA4" w:rsidRPr="00556141">
        <w:rPr>
          <w:lang w:val="it-IT"/>
        </w:rPr>
        <w:t xml:space="preserve"> non conformi alla legge </w:t>
      </w:r>
      <w:r w:rsidRPr="00556141">
        <w:rPr>
          <w:lang w:val="it-IT"/>
        </w:rPr>
        <w:t>(</w:t>
      </w:r>
      <w:r w:rsidR="0058326F" w:rsidRPr="00556141">
        <w:rPr>
          <w:lang w:val="it-IT"/>
        </w:rPr>
        <w:t>“</w:t>
      </w:r>
      <w:r w:rsidRPr="00556141">
        <w:rPr>
          <w:lang w:val="it-IT"/>
        </w:rPr>
        <w:t>cosa non fare</w:t>
      </w:r>
      <w:r w:rsidR="0058326F" w:rsidRPr="00556141">
        <w:rPr>
          <w:lang w:val="it-IT"/>
        </w:rPr>
        <w:t>”</w:t>
      </w:r>
      <w:r w:rsidRPr="00556141">
        <w:rPr>
          <w:lang w:val="it-IT"/>
        </w:rPr>
        <w:t>).</w:t>
      </w:r>
    </w:p>
    <w:p w14:paraId="5F7C290E" w14:textId="32C5C0EF" w:rsidR="00CC0C3D" w:rsidRPr="00556141" w:rsidRDefault="000E1AA4" w:rsidP="00CC0C3D">
      <w:pPr>
        <w:pStyle w:val="Listenabsatz"/>
        <w:numPr>
          <w:ilvl w:val="0"/>
          <w:numId w:val="13"/>
        </w:numPr>
        <w:rPr>
          <w:lang w:val="it-IT"/>
        </w:rPr>
      </w:pPr>
      <w:r w:rsidRPr="00556141">
        <w:rPr>
          <w:lang w:val="it-IT"/>
        </w:rPr>
        <w:t>Consulenza affidabile a terzi</w:t>
      </w:r>
      <w:r w:rsidR="00CC0C3D" w:rsidRPr="00556141">
        <w:rPr>
          <w:lang w:val="it-IT"/>
        </w:rPr>
        <w:t xml:space="preserve"> su come integrare gli aspetti di sostenibilità con la certezza del diritto.</w:t>
      </w:r>
    </w:p>
    <w:p w14:paraId="581EFF12" w14:textId="77777777" w:rsidR="00CC0C3D" w:rsidRPr="00556141" w:rsidRDefault="00CC0C3D" w:rsidP="00CC0C3D">
      <w:pPr>
        <w:rPr>
          <w:lang w:val="it-IT"/>
        </w:rPr>
      </w:pPr>
    </w:p>
    <w:p w14:paraId="1D27DAFA" w14:textId="205F62B8" w:rsidR="001F159E" w:rsidRPr="00556141" w:rsidRDefault="001F159E" w:rsidP="00CC0C3D">
      <w:pPr>
        <w:pStyle w:val="berschrift2"/>
        <w:rPr>
          <w:rFonts w:asciiTheme="minorHAnsi" w:hAnsiTheme="minorHAnsi"/>
          <w:lang w:val="it-IT"/>
        </w:rPr>
      </w:pPr>
      <w:r w:rsidRPr="00556141">
        <w:rPr>
          <w:rFonts w:asciiTheme="minorHAnsi" w:hAnsiTheme="minorHAnsi"/>
          <w:lang w:val="it-IT"/>
        </w:rPr>
        <w:t xml:space="preserve">2. </w:t>
      </w:r>
      <w:r w:rsidR="000661CD" w:rsidRPr="00556141">
        <w:rPr>
          <w:rFonts w:asciiTheme="minorHAnsi" w:hAnsiTheme="minorHAnsi"/>
          <w:lang w:val="it-IT"/>
        </w:rPr>
        <w:t>Struttura dell</w:t>
      </w:r>
      <w:r w:rsidR="0058326F" w:rsidRPr="00556141">
        <w:rPr>
          <w:rFonts w:asciiTheme="minorHAnsi" w:hAnsiTheme="minorHAnsi"/>
          <w:lang w:val="it-IT"/>
        </w:rPr>
        <w:t>’</w:t>
      </w:r>
      <w:r w:rsidR="000661CD" w:rsidRPr="00556141">
        <w:rPr>
          <w:rFonts w:asciiTheme="minorHAnsi" w:hAnsiTheme="minorHAnsi"/>
          <w:lang w:val="it-IT"/>
        </w:rPr>
        <w:t>esercizio</w:t>
      </w:r>
    </w:p>
    <w:p w14:paraId="1D0875B3" w14:textId="027C6995" w:rsidR="001F159E" w:rsidRPr="00556141" w:rsidRDefault="000661CD" w:rsidP="001F159E">
      <w:pPr>
        <w:rPr>
          <w:lang w:val="it-IT"/>
        </w:rPr>
      </w:pPr>
      <w:r w:rsidRPr="00556141">
        <w:rPr>
          <w:b/>
          <w:bCs/>
          <w:lang w:val="it-IT"/>
        </w:rPr>
        <w:t>Materiale necessario</w:t>
      </w:r>
      <w:r w:rsidR="001F159E" w:rsidRPr="00556141">
        <w:rPr>
          <w:b/>
          <w:bCs/>
          <w:lang w:val="it-IT"/>
        </w:rPr>
        <w:t>:</w:t>
      </w:r>
    </w:p>
    <w:p w14:paraId="17DD5E78" w14:textId="77777777" w:rsidR="000661CD" w:rsidRPr="00556141" w:rsidRDefault="000661CD" w:rsidP="000661CD">
      <w:pPr>
        <w:pStyle w:val="Listenabsatz"/>
        <w:numPr>
          <w:ilvl w:val="0"/>
          <w:numId w:val="13"/>
        </w:numPr>
        <w:rPr>
          <w:lang w:val="it-IT"/>
        </w:rPr>
      </w:pPr>
      <w:r w:rsidRPr="00556141">
        <w:rPr>
          <w:lang w:val="it-IT"/>
        </w:rPr>
        <w:t>Dispensa con 3 brevi esempi di offerte (fittizie, ma realistiche).</w:t>
      </w:r>
    </w:p>
    <w:p w14:paraId="067389F1" w14:textId="77777777" w:rsidR="000661CD" w:rsidRPr="00556141" w:rsidRDefault="000661CD" w:rsidP="000661CD">
      <w:pPr>
        <w:pStyle w:val="Listenabsatz"/>
        <w:numPr>
          <w:ilvl w:val="0"/>
          <w:numId w:val="13"/>
        </w:numPr>
        <w:rPr>
          <w:lang w:val="it-IT"/>
        </w:rPr>
      </w:pPr>
      <w:r w:rsidRPr="00556141">
        <w:rPr>
          <w:lang w:val="it-IT"/>
        </w:rPr>
        <w:t>Lavagna a fogli mobili o lavagna online per gli appunti di gruppo.</w:t>
      </w:r>
    </w:p>
    <w:p w14:paraId="50F2E1F6" w14:textId="69594491" w:rsidR="000661CD" w:rsidRDefault="000E1AA4" w:rsidP="000661CD">
      <w:pPr>
        <w:pStyle w:val="Listenabsatz"/>
        <w:numPr>
          <w:ilvl w:val="0"/>
          <w:numId w:val="13"/>
        </w:numPr>
        <w:rPr>
          <w:lang w:val="it-IT"/>
        </w:rPr>
      </w:pPr>
      <w:r w:rsidRPr="00556141">
        <w:rPr>
          <w:lang w:val="it-IT"/>
        </w:rPr>
        <w:t>Scheda riassuntiva</w:t>
      </w:r>
      <w:r w:rsidR="000661CD" w:rsidRPr="00556141">
        <w:rPr>
          <w:lang w:val="it-IT"/>
        </w:rPr>
        <w:t xml:space="preserve"> </w:t>
      </w:r>
      <w:r w:rsidR="0058326F" w:rsidRPr="00556141">
        <w:rPr>
          <w:lang w:val="it-IT"/>
        </w:rPr>
        <w:t>“</w:t>
      </w:r>
      <w:r w:rsidR="000661CD" w:rsidRPr="00556141">
        <w:rPr>
          <w:lang w:val="it-IT"/>
        </w:rPr>
        <w:t>Cosa fare e cosa non fare</w:t>
      </w:r>
      <w:r w:rsidR="0058326F" w:rsidRPr="00556141">
        <w:rPr>
          <w:lang w:val="it-IT"/>
        </w:rPr>
        <w:t>”</w:t>
      </w:r>
      <w:r w:rsidR="000661CD" w:rsidRPr="00556141">
        <w:rPr>
          <w:lang w:val="it-IT"/>
        </w:rPr>
        <w:t xml:space="preserve"> (fornito dal formatore dopo l</w:t>
      </w:r>
      <w:r w:rsidR="0058326F" w:rsidRPr="00556141">
        <w:rPr>
          <w:lang w:val="it-IT"/>
        </w:rPr>
        <w:t>’</w:t>
      </w:r>
      <w:r w:rsidR="000661CD" w:rsidRPr="00556141">
        <w:rPr>
          <w:lang w:val="it-IT"/>
        </w:rPr>
        <w:t>esercizio).</w:t>
      </w:r>
    </w:p>
    <w:p w14:paraId="19A94D3A" w14:textId="77777777" w:rsidR="008F7A42" w:rsidRDefault="008F7A42" w:rsidP="008F7A42">
      <w:pPr>
        <w:pStyle w:val="Listenabsatz"/>
        <w:rPr>
          <w:lang w:val="it-IT"/>
        </w:rPr>
      </w:pPr>
    </w:p>
    <w:p w14:paraId="35DBE8A8" w14:textId="77777777" w:rsidR="008F7A42" w:rsidRPr="00556141" w:rsidRDefault="008F7A42" w:rsidP="008F7A42">
      <w:pPr>
        <w:pStyle w:val="Listenabsatz"/>
        <w:rPr>
          <w:lang w:val="it-IT"/>
        </w:rPr>
      </w:pPr>
    </w:p>
    <w:p w14:paraId="48F3D0CC" w14:textId="0B8ABC42" w:rsidR="001F159E" w:rsidRPr="00556141" w:rsidRDefault="001F159E" w:rsidP="000E1AA4">
      <w:pPr>
        <w:pStyle w:val="berschrift2"/>
        <w:rPr>
          <w:rFonts w:asciiTheme="minorHAnsi" w:eastAsia="Times New Roman" w:hAnsiTheme="minorHAnsi"/>
          <w:sz w:val="36"/>
          <w:szCs w:val="36"/>
          <w:lang w:val="it-IT" w:eastAsia="it-IT"/>
        </w:rPr>
      </w:pPr>
      <w:r w:rsidRPr="00556141">
        <w:rPr>
          <w:rFonts w:asciiTheme="minorHAnsi" w:hAnsiTheme="minorHAnsi"/>
          <w:lang w:val="it-IT"/>
        </w:rPr>
        <w:lastRenderedPageBreak/>
        <w:t xml:space="preserve">3. </w:t>
      </w:r>
      <w:proofErr w:type="spellStart"/>
      <w:r w:rsidR="000E1AA4" w:rsidRPr="00556141">
        <w:rPr>
          <w:rFonts w:asciiTheme="minorHAnsi" w:eastAsia="Times New Roman" w:hAnsiTheme="minorHAnsi"/>
          <w:lang w:val="en-US"/>
        </w:rPr>
        <w:t>Indicazioni</w:t>
      </w:r>
      <w:proofErr w:type="spellEnd"/>
      <w:r w:rsidR="009C0E63" w:rsidRPr="00556141">
        <w:rPr>
          <w:rFonts w:asciiTheme="minorHAnsi" w:hAnsiTheme="minorHAnsi"/>
          <w:lang w:val="it-IT"/>
        </w:rPr>
        <w:t xml:space="preserve"> passo dopo passo</w:t>
      </w:r>
    </w:p>
    <w:p w14:paraId="3F9118D9" w14:textId="788D2117" w:rsidR="009C0E63" w:rsidRPr="00556141" w:rsidRDefault="009C0E63" w:rsidP="009C0E63">
      <w:pPr>
        <w:tabs>
          <w:tab w:val="num" w:pos="1440"/>
        </w:tabs>
        <w:rPr>
          <w:lang w:val="it-IT"/>
        </w:rPr>
      </w:pPr>
      <w:r w:rsidRPr="00556141">
        <w:rPr>
          <w:rStyle w:val="berschrift3Zchn"/>
          <w:lang w:val="it-IT"/>
        </w:rPr>
        <w:t>Fase</w:t>
      </w:r>
      <w:r w:rsidR="001F159E" w:rsidRPr="00556141">
        <w:rPr>
          <w:rStyle w:val="berschrift3Zchn"/>
          <w:lang w:val="it-IT"/>
        </w:rPr>
        <w:t xml:space="preserve"> 1 </w:t>
      </w:r>
      <w:r w:rsidRPr="00556141">
        <w:rPr>
          <w:rStyle w:val="berschrift3Zchn"/>
          <w:lang w:val="it-IT"/>
        </w:rPr>
        <w:t xml:space="preserve">Lavoro di gruppo </w:t>
      </w:r>
      <w:r w:rsidR="001F159E" w:rsidRPr="00556141">
        <w:rPr>
          <w:rStyle w:val="berschrift3Zchn"/>
          <w:lang w:val="it-IT"/>
        </w:rPr>
        <w:t>(</w:t>
      </w:r>
      <w:r w:rsidR="002B43FA" w:rsidRPr="00556141">
        <w:rPr>
          <w:rStyle w:val="berschrift3Zchn"/>
          <w:lang w:val="it-IT"/>
        </w:rPr>
        <w:t xml:space="preserve">15 </w:t>
      </w:r>
      <w:r w:rsidR="001F159E" w:rsidRPr="00556141">
        <w:rPr>
          <w:rStyle w:val="berschrift3Zchn"/>
          <w:lang w:val="it-IT"/>
        </w:rPr>
        <w:t>min)</w:t>
      </w:r>
      <w:r w:rsidR="001F159E" w:rsidRPr="00556141">
        <w:rPr>
          <w:rStyle w:val="berschrift3Zchn"/>
          <w:lang w:val="it-IT"/>
        </w:rPr>
        <w:br/>
      </w:r>
      <w:r w:rsidRPr="00556141">
        <w:rPr>
          <w:lang w:val="it-IT"/>
        </w:rPr>
        <w:t>Ogni gruppo riceve due mini scenari di gara d</w:t>
      </w:r>
      <w:r w:rsidR="0058326F" w:rsidRPr="00556141">
        <w:rPr>
          <w:lang w:val="it-IT"/>
        </w:rPr>
        <w:t>’</w:t>
      </w:r>
      <w:r w:rsidRPr="00556141">
        <w:rPr>
          <w:lang w:val="it-IT"/>
        </w:rPr>
        <w:t>appalto. Vedi dispensa più avanti.</w:t>
      </w:r>
    </w:p>
    <w:p w14:paraId="5FE4D18D" w14:textId="47203650" w:rsidR="001F159E" w:rsidRPr="00556141" w:rsidRDefault="009C0E63" w:rsidP="009C0E63">
      <w:pPr>
        <w:tabs>
          <w:tab w:val="num" w:pos="1440"/>
        </w:tabs>
        <w:rPr>
          <w:lang w:val="it-IT"/>
        </w:rPr>
      </w:pPr>
      <w:r w:rsidRPr="00556141">
        <w:rPr>
          <w:b/>
          <w:bCs/>
          <w:lang w:val="it-IT"/>
        </w:rPr>
        <w:t>Lavoro di gruppo</w:t>
      </w:r>
      <w:r w:rsidR="001F159E" w:rsidRPr="00556141">
        <w:rPr>
          <w:b/>
          <w:bCs/>
          <w:lang w:val="it-IT"/>
        </w:rPr>
        <w:t>:</w:t>
      </w:r>
    </w:p>
    <w:p w14:paraId="48B8F333" w14:textId="77777777" w:rsidR="009C0E63" w:rsidRPr="00556141" w:rsidRDefault="009C0E63" w:rsidP="009C0E63">
      <w:pPr>
        <w:numPr>
          <w:ilvl w:val="0"/>
          <w:numId w:val="4"/>
        </w:numPr>
        <w:rPr>
          <w:lang w:val="it-IT"/>
        </w:rPr>
      </w:pPr>
      <w:r w:rsidRPr="00556141">
        <w:rPr>
          <w:lang w:val="it-IT"/>
        </w:rPr>
        <w:t>Identificazione</w:t>
      </w:r>
      <w:r w:rsidR="001F159E" w:rsidRPr="00556141">
        <w:rPr>
          <w:lang w:val="it-IT"/>
        </w:rPr>
        <w:t>:</w:t>
      </w:r>
      <w:r w:rsidR="001F159E" w:rsidRPr="00556141">
        <w:rPr>
          <w:lang w:val="it-IT"/>
        </w:rPr>
        <w:br/>
      </w:r>
      <w:r w:rsidRPr="00556141">
        <w:rPr>
          <w:lang w:val="it-IT"/>
        </w:rPr>
        <w:t>a) In quale fase viene presa in considerazione la sostenibilità (specifiche, aggiudicazione, prestazioni, ecc.).</w:t>
      </w:r>
    </w:p>
    <w:p w14:paraId="7A56CA3C" w14:textId="77777777" w:rsidR="009C0E63" w:rsidRDefault="009C0E63" w:rsidP="009C0E63">
      <w:pPr>
        <w:numPr>
          <w:ilvl w:val="0"/>
          <w:numId w:val="4"/>
        </w:numPr>
        <w:rPr>
          <w:lang w:val="it-IT"/>
        </w:rPr>
      </w:pPr>
      <w:r w:rsidRPr="00556141">
        <w:rPr>
          <w:lang w:val="it-IT"/>
        </w:rPr>
        <w:t>b) Se ciò è legalmente ammissibile, discutibile o inammissibile e perché.</w:t>
      </w:r>
    </w:p>
    <w:p w14:paraId="52029606" w14:textId="48425253" w:rsidR="008F7A42" w:rsidRPr="008F7A42" w:rsidRDefault="008F7A42" w:rsidP="008F7A42">
      <w:pPr>
        <w:tabs>
          <w:tab w:val="left" w:pos="2244"/>
        </w:tabs>
        <w:rPr>
          <w:lang w:val="it-IT"/>
        </w:rPr>
      </w:pPr>
      <w:r>
        <w:rPr>
          <w:lang w:val="it-IT"/>
        </w:rPr>
        <w:tab/>
      </w:r>
    </w:p>
    <w:p w14:paraId="6847EB22" w14:textId="6E995069" w:rsidR="001F159E" w:rsidRPr="00556141" w:rsidRDefault="009C0E63" w:rsidP="009C0E63">
      <w:pPr>
        <w:numPr>
          <w:ilvl w:val="0"/>
          <w:numId w:val="4"/>
        </w:numPr>
        <w:rPr>
          <w:lang w:val="it-IT"/>
        </w:rPr>
      </w:pPr>
      <w:r w:rsidRPr="00556141">
        <w:rPr>
          <w:lang w:val="it-IT"/>
        </w:rPr>
        <w:t>c) Proposte su come riformulare o adattare il testo per renderlo giuridicamente ineccepibile.</w:t>
      </w:r>
    </w:p>
    <w:p w14:paraId="2A145A2F" w14:textId="77777777" w:rsidR="001F159E" w:rsidRPr="00556141" w:rsidRDefault="001F159E" w:rsidP="001F159E">
      <w:pPr>
        <w:rPr>
          <w:b/>
          <w:bCs/>
          <w:lang w:val="it-IT"/>
        </w:rPr>
      </w:pPr>
    </w:p>
    <w:p w14:paraId="068C4301" w14:textId="77777777" w:rsidR="006734DE" w:rsidRPr="00556141" w:rsidRDefault="006734DE" w:rsidP="001F159E">
      <w:pPr>
        <w:rPr>
          <w:rStyle w:val="berschrift3Zchn"/>
          <w:lang w:val="it-IT"/>
        </w:rPr>
      </w:pPr>
    </w:p>
    <w:p w14:paraId="69D486F4" w14:textId="23FF59CF" w:rsidR="001F159E" w:rsidRPr="00556141" w:rsidRDefault="009C0E63" w:rsidP="001F159E">
      <w:pPr>
        <w:rPr>
          <w:lang w:val="it-IT"/>
        </w:rPr>
      </w:pPr>
      <w:r w:rsidRPr="00556141">
        <w:rPr>
          <w:rStyle w:val="berschrift3Zchn"/>
          <w:lang w:val="it-IT"/>
        </w:rPr>
        <w:t>Fase</w:t>
      </w:r>
      <w:r w:rsidR="0082385F" w:rsidRPr="00556141">
        <w:rPr>
          <w:rStyle w:val="berschrift3Zchn"/>
          <w:lang w:val="it-IT"/>
        </w:rPr>
        <w:t xml:space="preserve"> 2 </w:t>
      </w:r>
      <w:r w:rsidR="001F159E" w:rsidRPr="00556141">
        <w:rPr>
          <w:rStyle w:val="berschrift3Zchn"/>
          <w:lang w:val="it-IT"/>
        </w:rPr>
        <w:t xml:space="preserve">— </w:t>
      </w:r>
      <w:r w:rsidRPr="00556141">
        <w:rPr>
          <w:rStyle w:val="berschrift3Zchn"/>
          <w:lang w:val="it-IT"/>
        </w:rPr>
        <w:t xml:space="preserve">Discussione finale </w:t>
      </w:r>
      <w:r w:rsidR="001F159E" w:rsidRPr="00556141">
        <w:rPr>
          <w:rStyle w:val="berschrift3Zchn"/>
          <w:lang w:val="it-IT"/>
        </w:rPr>
        <w:t>(10 min)</w:t>
      </w:r>
      <w:r w:rsidR="001F159E" w:rsidRPr="00556141">
        <w:rPr>
          <w:lang w:val="it-IT"/>
        </w:rPr>
        <w:br/>
      </w:r>
      <w:r w:rsidRPr="00556141">
        <w:rPr>
          <w:lang w:val="it-IT"/>
        </w:rPr>
        <w:t xml:space="preserve">I gruppi presentano i loro risultati. Il formatore modera la discussione sulla base della tabella </w:t>
      </w:r>
      <w:r w:rsidR="0058326F" w:rsidRPr="00556141">
        <w:rPr>
          <w:lang w:val="it-IT"/>
        </w:rPr>
        <w:t>“</w:t>
      </w:r>
      <w:r w:rsidRPr="00556141">
        <w:rPr>
          <w:lang w:val="it-IT"/>
        </w:rPr>
        <w:t>Cosa fare e cosa non fare</w:t>
      </w:r>
      <w:r w:rsidR="0058326F" w:rsidRPr="00556141">
        <w:rPr>
          <w:lang w:val="it-IT"/>
        </w:rPr>
        <w:t>”</w:t>
      </w:r>
      <w:r w:rsidRPr="00556141">
        <w:rPr>
          <w:lang w:val="it-IT"/>
        </w:rP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8"/>
        <w:gridCol w:w="3664"/>
        <w:gridCol w:w="3710"/>
      </w:tblGrid>
      <w:tr w:rsidR="00BE02A2" w:rsidRPr="008F7A42" w14:paraId="4E087824" w14:textId="77777777" w:rsidTr="0002448F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94A1C3B" w14:textId="365A5868" w:rsidR="001F159E" w:rsidRPr="00556141" w:rsidRDefault="00E95C06" w:rsidP="0002448F">
            <w:pPr>
              <w:rPr>
                <w:b/>
                <w:bCs/>
                <w:lang w:val="it-IT"/>
              </w:rPr>
            </w:pPr>
            <w:r w:rsidRPr="00556141">
              <w:rPr>
                <w:b/>
                <w:bCs/>
                <w:lang w:val="it-IT"/>
              </w:rPr>
              <w:t>Livello</w:t>
            </w:r>
          </w:p>
        </w:tc>
        <w:tc>
          <w:tcPr>
            <w:tcW w:w="0" w:type="auto"/>
            <w:vAlign w:val="center"/>
            <w:hideMark/>
          </w:tcPr>
          <w:p w14:paraId="4B29B1E4" w14:textId="3B510796" w:rsidR="001F159E" w:rsidRPr="00556141" w:rsidRDefault="001F159E" w:rsidP="0002448F">
            <w:pPr>
              <w:rPr>
                <w:b/>
                <w:bCs/>
                <w:lang w:val="it-IT"/>
              </w:rPr>
            </w:pPr>
            <w:r w:rsidRPr="00556141">
              <w:rPr>
                <w:b/>
                <w:bCs/>
                <w:lang w:val="it-IT"/>
              </w:rPr>
              <w:t>Cosa fare (</w:t>
            </w:r>
            <w:r w:rsidR="00E95C06" w:rsidRPr="00556141">
              <w:rPr>
                <w:b/>
                <w:bCs/>
                <w:lang w:val="it-IT"/>
              </w:rPr>
              <w:t>legalmente sicuro</w:t>
            </w:r>
            <w:r w:rsidRPr="00556141">
              <w:rPr>
                <w:b/>
                <w:bCs/>
                <w:lang w:val="it-IT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199A42FC" w14:textId="45A8F07B" w:rsidR="001F159E" w:rsidRPr="00556141" w:rsidRDefault="001F159E" w:rsidP="0002448F">
            <w:pPr>
              <w:rPr>
                <w:b/>
                <w:bCs/>
                <w:lang w:val="it-IT"/>
              </w:rPr>
            </w:pPr>
            <w:r w:rsidRPr="00556141">
              <w:rPr>
                <w:b/>
                <w:bCs/>
                <w:lang w:val="it-IT"/>
              </w:rPr>
              <w:t>Cosa non fare (</w:t>
            </w:r>
            <w:r w:rsidR="00E95C06" w:rsidRPr="00556141">
              <w:rPr>
                <w:b/>
                <w:bCs/>
                <w:lang w:val="it-IT"/>
              </w:rPr>
              <w:t>rischioso/illegale</w:t>
            </w:r>
            <w:r w:rsidRPr="00556141">
              <w:rPr>
                <w:b/>
                <w:bCs/>
                <w:lang w:val="it-IT"/>
              </w:rPr>
              <w:t>)</w:t>
            </w:r>
          </w:p>
        </w:tc>
      </w:tr>
      <w:tr w:rsidR="00BE02A2" w:rsidRPr="008F7A42" w14:paraId="6421EAA6" w14:textId="77777777" w:rsidTr="0002448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F5D891" w14:textId="2D593805" w:rsidR="001F159E" w:rsidRPr="00556141" w:rsidRDefault="00E95C06" w:rsidP="0002448F">
            <w:pPr>
              <w:rPr>
                <w:lang w:val="it-IT"/>
              </w:rPr>
            </w:pPr>
            <w:r w:rsidRPr="00556141">
              <w:rPr>
                <w:lang w:val="it-IT"/>
              </w:rPr>
              <w:t>Dati tecnici</w:t>
            </w:r>
          </w:p>
        </w:tc>
        <w:tc>
          <w:tcPr>
            <w:tcW w:w="0" w:type="auto"/>
            <w:vAlign w:val="center"/>
            <w:hideMark/>
          </w:tcPr>
          <w:p w14:paraId="33820433" w14:textId="28FE8062" w:rsidR="001F159E" w:rsidRPr="00556141" w:rsidRDefault="00E95C06" w:rsidP="0002448F">
            <w:pPr>
              <w:rPr>
                <w:lang w:val="it-IT"/>
              </w:rPr>
            </w:pPr>
            <w:r w:rsidRPr="00556141">
              <w:rPr>
                <w:lang w:val="it-IT"/>
              </w:rPr>
              <w:t xml:space="preserve">Fate riferimento a criteri di prestazione o funzionali (ad es. basse emissioni), accettate </w:t>
            </w:r>
            <w:r w:rsidR="003D434F" w:rsidRPr="00556141">
              <w:rPr>
                <w:lang w:val="it-IT"/>
              </w:rPr>
              <w:t xml:space="preserve">attestazioni </w:t>
            </w:r>
            <w:r w:rsidRPr="00556141">
              <w:rPr>
                <w:lang w:val="it-IT"/>
              </w:rPr>
              <w:t>equivalenti.</w:t>
            </w:r>
          </w:p>
        </w:tc>
        <w:tc>
          <w:tcPr>
            <w:tcW w:w="0" w:type="auto"/>
            <w:vAlign w:val="center"/>
            <w:hideMark/>
          </w:tcPr>
          <w:p w14:paraId="1DE7E3FC" w14:textId="6306820F" w:rsidR="001F159E" w:rsidRPr="00556141" w:rsidRDefault="00E95C06" w:rsidP="0002448F">
            <w:pPr>
              <w:rPr>
                <w:lang w:val="it-IT"/>
              </w:rPr>
            </w:pPr>
            <w:r w:rsidRPr="00556141">
              <w:rPr>
                <w:lang w:val="it-IT"/>
              </w:rPr>
              <w:t>È richiesta una determinata marca, un determinato marchio o una determinata provenienza locale.</w:t>
            </w:r>
          </w:p>
        </w:tc>
      </w:tr>
      <w:tr w:rsidR="00BE02A2" w:rsidRPr="00556141" w14:paraId="30462FFE" w14:textId="77777777" w:rsidTr="0002448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33D3AD" w14:textId="3904D8C2" w:rsidR="001F159E" w:rsidRPr="00556141" w:rsidRDefault="00E95C06" w:rsidP="0002448F">
            <w:pPr>
              <w:rPr>
                <w:lang w:val="it-IT"/>
              </w:rPr>
            </w:pPr>
            <w:r w:rsidRPr="00556141">
              <w:rPr>
                <w:lang w:val="it-IT"/>
              </w:rPr>
              <w:t>Criteri di aggiudicazione</w:t>
            </w:r>
          </w:p>
        </w:tc>
        <w:tc>
          <w:tcPr>
            <w:tcW w:w="0" w:type="auto"/>
            <w:vAlign w:val="center"/>
            <w:hideMark/>
          </w:tcPr>
          <w:p w14:paraId="534C4081" w14:textId="0715250B" w:rsidR="001F159E" w:rsidRPr="00556141" w:rsidRDefault="00E95C06" w:rsidP="0002448F">
            <w:pPr>
              <w:rPr>
                <w:lang w:val="it-IT"/>
              </w:rPr>
            </w:pPr>
            <w:r w:rsidRPr="00556141">
              <w:rPr>
                <w:lang w:val="it-IT"/>
              </w:rPr>
              <w:t>Utilizzate criteri di sostenibilità misurabili correlati al tema.</w:t>
            </w:r>
          </w:p>
        </w:tc>
        <w:tc>
          <w:tcPr>
            <w:tcW w:w="0" w:type="auto"/>
            <w:vAlign w:val="center"/>
            <w:hideMark/>
          </w:tcPr>
          <w:p w14:paraId="2F537898" w14:textId="0EDC9857" w:rsidR="001F159E" w:rsidRPr="00556141" w:rsidRDefault="00E95C06" w:rsidP="0002448F">
            <w:pPr>
              <w:rPr>
                <w:lang w:val="it-IT"/>
              </w:rPr>
            </w:pPr>
            <w:r w:rsidRPr="00556141">
              <w:rPr>
                <w:lang w:val="it-IT"/>
              </w:rPr>
              <w:t>Assegnazione di punti per le linee guida generali in materia di CSR</w:t>
            </w:r>
          </w:p>
        </w:tc>
      </w:tr>
      <w:tr w:rsidR="00015A7F" w:rsidRPr="00556141" w14:paraId="39F8214C" w14:textId="77777777" w:rsidTr="00015A7F">
        <w:trPr>
          <w:tblCellSpacing w:w="15" w:type="dxa"/>
        </w:trPr>
        <w:tc>
          <w:tcPr>
            <w:tcW w:w="0" w:type="auto"/>
            <w:vAlign w:val="center"/>
          </w:tcPr>
          <w:p w14:paraId="0FABF5C6" w14:textId="4A8FBFA2" w:rsidR="00015A7F" w:rsidRPr="00556141" w:rsidRDefault="00E95C06" w:rsidP="00015A7F">
            <w:pPr>
              <w:rPr>
                <w:lang w:val="it-IT"/>
              </w:rPr>
            </w:pPr>
            <w:r w:rsidRPr="00556141">
              <w:rPr>
                <w:lang w:val="it-IT"/>
              </w:rPr>
              <w:t>Criteri di selezione</w:t>
            </w:r>
          </w:p>
        </w:tc>
        <w:tc>
          <w:tcPr>
            <w:tcW w:w="0" w:type="auto"/>
            <w:vAlign w:val="center"/>
          </w:tcPr>
          <w:p w14:paraId="53005FE1" w14:textId="2644BB54" w:rsidR="00015A7F" w:rsidRPr="00556141" w:rsidRDefault="00E95C06" w:rsidP="00015A7F">
            <w:pPr>
              <w:rPr>
                <w:lang w:val="it-IT"/>
              </w:rPr>
            </w:pPr>
            <w:r w:rsidRPr="00556141">
              <w:rPr>
                <w:lang w:val="it-IT"/>
              </w:rPr>
              <w:t>Verificate le competenze tecniche dei fornitori (ad es. EMS o formazione).</w:t>
            </w:r>
          </w:p>
        </w:tc>
        <w:tc>
          <w:tcPr>
            <w:tcW w:w="0" w:type="auto"/>
            <w:vAlign w:val="center"/>
          </w:tcPr>
          <w:p w14:paraId="506B285C" w14:textId="025BEDB9" w:rsidR="00015A7F" w:rsidRPr="00556141" w:rsidRDefault="00E95C06" w:rsidP="00015A7F">
            <w:pPr>
              <w:rPr>
                <w:lang w:val="it-IT"/>
              </w:rPr>
            </w:pPr>
            <w:r w:rsidRPr="00556141">
              <w:rPr>
                <w:lang w:val="it-IT"/>
              </w:rPr>
              <w:t>Richiedere certificati senza equivalenza.</w:t>
            </w:r>
          </w:p>
        </w:tc>
      </w:tr>
      <w:tr w:rsidR="00015A7F" w:rsidRPr="008F7A42" w14:paraId="2D9B57AF" w14:textId="77777777" w:rsidTr="00015A7F">
        <w:trPr>
          <w:trHeight w:val="871"/>
          <w:tblCellSpacing w:w="15" w:type="dxa"/>
        </w:trPr>
        <w:tc>
          <w:tcPr>
            <w:tcW w:w="0" w:type="auto"/>
            <w:vAlign w:val="center"/>
          </w:tcPr>
          <w:p w14:paraId="1FE13D1C" w14:textId="57B3EF9C" w:rsidR="00015A7F" w:rsidRPr="00556141" w:rsidRDefault="00E95C06" w:rsidP="00015A7F">
            <w:pPr>
              <w:rPr>
                <w:lang w:val="it-IT"/>
              </w:rPr>
            </w:pPr>
            <w:r w:rsidRPr="00556141">
              <w:rPr>
                <w:lang w:val="it-IT"/>
              </w:rPr>
              <w:t>Clausole contrattuali</w:t>
            </w:r>
          </w:p>
        </w:tc>
        <w:tc>
          <w:tcPr>
            <w:tcW w:w="0" w:type="auto"/>
            <w:vAlign w:val="center"/>
          </w:tcPr>
          <w:p w14:paraId="1EF2194A" w14:textId="54AA1B5C" w:rsidR="00015A7F" w:rsidRPr="00556141" w:rsidRDefault="00E95C06" w:rsidP="00015A7F">
            <w:pPr>
              <w:rPr>
                <w:lang w:val="it-IT"/>
              </w:rPr>
            </w:pPr>
            <w:r w:rsidRPr="00556141">
              <w:rPr>
                <w:lang w:val="it-IT"/>
              </w:rPr>
              <w:t>Considerazione degli impegni di sostenibilità durante l</w:t>
            </w:r>
            <w:r w:rsidR="0058326F" w:rsidRPr="00556141">
              <w:rPr>
                <w:lang w:val="it-IT"/>
              </w:rPr>
              <w:t>’</w:t>
            </w:r>
            <w:r w:rsidRPr="00556141">
              <w:rPr>
                <w:lang w:val="it-IT"/>
              </w:rPr>
              <w:t>esecuzione</w:t>
            </w:r>
          </w:p>
        </w:tc>
        <w:tc>
          <w:tcPr>
            <w:tcW w:w="0" w:type="auto"/>
            <w:vAlign w:val="center"/>
          </w:tcPr>
          <w:p w14:paraId="48C0F59D" w14:textId="2BACECDD" w:rsidR="00015A7F" w:rsidRPr="00556141" w:rsidRDefault="00E95C06" w:rsidP="00015A7F">
            <w:pPr>
              <w:rPr>
                <w:lang w:val="it-IT"/>
              </w:rPr>
            </w:pPr>
            <w:r w:rsidRPr="00556141">
              <w:rPr>
                <w:lang w:val="it-IT"/>
              </w:rPr>
              <w:t>Aggiunta di nuovi criteri dopo l</w:t>
            </w:r>
            <w:r w:rsidR="0058326F" w:rsidRPr="00556141">
              <w:rPr>
                <w:lang w:val="it-IT"/>
              </w:rPr>
              <w:t>’</w:t>
            </w:r>
            <w:r w:rsidRPr="00556141">
              <w:rPr>
                <w:lang w:val="it-IT"/>
              </w:rPr>
              <w:t>aggiudicazione dell</w:t>
            </w:r>
            <w:r w:rsidR="0058326F" w:rsidRPr="00556141">
              <w:rPr>
                <w:lang w:val="it-IT"/>
              </w:rPr>
              <w:t>’</w:t>
            </w:r>
            <w:r w:rsidRPr="00556141">
              <w:rPr>
                <w:lang w:val="it-IT"/>
              </w:rPr>
              <w:t>appalto</w:t>
            </w:r>
          </w:p>
        </w:tc>
      </w:tr>
    </w:tbl>
    <w:p w14:paraId="5E964988" w14:textId="77777777" w:rsidR="00311B19" w:rsidRDefault="00311B19" w:rsidP="001F159E">
      <w:pPr>
        <w:rPr>
          <w:rStyle w:val="berschrift3Zchn"/>
          <w:lang w:val="it-IT"/>
        </w:rPr>
      </w:pPr>
    </w:p>
    <w:p w14:paraId="561ED1DA" w14:textId="77777777" w:rsidR="008F7A42" w:rsidRPr="00556141" w:rsidRDefault="008F7A42" w:rsidP="001F159E">
      <w:pPr>
        <w:rPr>
          <w:rStyle w:val="berschrift3Zchn"/>
          <w:lang w:val="it-IT"/>
        </w:rPr>
      </w:pPr>
    </w:p>
    <w:p w14:paraId="7F222C35" w14:textId="4CAD6505" w:rsidR="001F159E" w:rsidRPr="00556141" w:rsidRDefault="00311B19" w:rsidP="001F159E">
      <w:pPr>
        <w:rPr>
          <w:lang w:val="it-IT"/>
        </w:rPr>
      </w:pPr>
      <w:r w:rsidRPr="00556141">
        <w:rPr>
          <w:rStyle w:val="berschrift3Zchn"/>
          <w:lang w:val="it-IT"/>
        </w:rPr>
        <w:lastRenderedPageBreak/>
        <w:t>Fase</w:t>
      </w:r>
      <w:r w:rsidR="00BE02A2" w:rsidRPr="00556141">
        <w:rPr>
          <w:rStyle w:val="berschrift3Zchn"/>
          <w:lang w:val="it-IT"/>
        </w:rPr>
        <w:t xml:space="preserve"> 3 </w:t>
      </w:r>
      <w:r w:rsidR="001F159E" w:rsidRPr="00556141">
        <w:rPr>
          <w:rStyle w:val="berschrift3Zchn"/>
          <w:lang w:val="it-IT"/>
        </w:rPr>
        <w:t xml:space="preserve">— </w:t>
      </w:r>
      <w:r w:rsidRPr="00556141">
        <w:rPr>
          <w:rStyle w:val="berschrift3Zchn"/>
          <w:lang w:val="it-IT"/>
        </w:rPr>
        <w:t xml:space="preserve">Riepilogo </w:t>
      </w:r>
      <w:r w:rsidR="001F159E" w:rsidRPr="00556141">
        <w:rPr>
          <w:rStyle w:val="berschrift3Zchn"/>
          <w:lang w:val="it-IT"/>
        </w:rPr>
        <w:t>(5 min)</w:t>
      </w:r>
      <w:r w:rsidR="001F159E" w:rsidRPr="00556141">
        <w:rPr>
          <w:lang w:val="it-IT"/>
        </w:rPr>
        <w:br/>
      </w:r>
      <w:r w:rsidRPr="00556141">
        <w:rPr>
          <w:lang w:val="it-IT"/>
        </w:rPr>
        <w:t xml:space="preserve">Sintesi da parte del </w:t>
      </w:r>
      <w:r w:rsidR="001F159E" w:rsidRPr="00556141">
        <w:rPr>
          <w:lang w:val="it-IT"/>
        </w:rPr>
        <w:t>formatore:</w:t>
      </w:r>
    </w:p>
    <w:p w14:paraId="3492232C" w14:textId="77777777" w:rsidR="00311B19" w:rsidRPr="00556141" w:rsidRDefault="00311B19" w:rsidP="00311B19">
      <w:pPr>
        <w:pStyle w:val="berschrift2"/>
        <w:numPr>
          <w:ilvl w:val="0"/>
          <w:numId w:val="15"/>
        </w:numPr>
        <w:rPr>
          <w:rFonts w:asciiTheme="minorHAnsi" w:eastAsiaTheme="minorHAnsi" w:hAnsiTheme="minorHAnsi" w:cstheme="minorBidi"/>
          <w:color w:val="auto"/>
          <w:sz w:val="22"/>
          <w:szCs w:val="22"/>
          <w:lang w:val="it-IT"/>
        </w:rPr>
      </w:pPr>
      <w:r w:rsidRPr="00556141">
        <w:rPr>
          <w:rFonts w:asciiTheme="minorHAnsi" w:eastAsiaTheme="minorHAnsi" w:hAnsiTheme="minorHAnsi" w:cstheme="minorBidi"/>
          <w:color w:val="auto"/>
          <w:sz w:val="22"/>
          <w:szCs w:val="22"/>
          <w:lang w:val="it-IT"/>
        </w:rPr>
        <w:t>Aspetti giuridici importanti della sostenibilità.</w:t>
      </w:r>
    </w:p>
    <w:p w14:paraId="54A19853" w14:textId="5573AE5C" w:rsidR="00311B19" w:rsidRPr="00556141" w:rsidRDefault="0058326F" w:rsidP="00311B19">
      <w:pPr>
        <w:pStyle w:val="berschrift2"/>
        <w:numPr>
          <w:ilvl w:val="0"/>
          <w:numId w:val="15"/>
        </w:numPr>
        <w:rPr>
          <w:rFonts w:asciiTheme="minorHAnsi" w:eastAsiaTheme="minorHAnsi" w:hAnsiTheme="minorHAnsi" w:cstheme="minorBidi"/>
          <w:color w:val="auto"/>
          <w:sz w:val="22"/>
          <w:szCs w:val="22"/>
          <w:lang w:val="it-IT"/>
        </w:rPr>
      </w:pPr>
      <w:r w:rsidRPr="00556141">
        <w:rPr>
          <w:rFonts w:asciiTheme="minorHAnsi" w:eastAsiaTheme="minorHAnsi" w:hAnsiTheme="minorHAnsi" w:cstheme="minorBidi"/>
          <w:color w:val="auto"/>
          <w:sz w:val="22"/>
          <w:szCs w:val="22"/>
          <w:lang w:val="it-IT"/>
        </w:rPr>
        <w:t>“</w:t>
      </w:r>
      <w:r w:rsidR="00311B19" w:rsidRPr="00556141">
        <w:rPr>
          <w:rFonts w:asciiTheme="minorHAnsi" w:eastAsiaTheme="minorHAnsi" w:hAnsiTheme="minorHAnsi" w:cstheme="minorBidi"/>
          <w:color w:val="auto"/>
          <w:sz w:val="22"/>
          <w:szCs w:val="22"/>
          <w:lang w:val="it-IT"/>
        </w:rPr>
        <w:t>Regole d</w:t>
      </w:r>
      <w:r w:rsidRPr="00556141">
        <w:rPr>
          <w:rFonts w:asciiTheme="minorHAnsi" w:eastAsiaTheme="minorHAnsi" w:hAnsiTheme="minorHAnsi" w:cstheme="minorBidi"/>
          <w:color w:val="auto"/>
          <w:sz w:val="22"/>
          <w:szCs w:val="22"/>
          <w:lang w:val="it-IT"/>
        </w:rPr>
        <w:t>’</w:t>
      </w:r>
      <w:r w:rsidR="00311B19" w:rsidRPr="00556141">
        <w:rPr>
          <w:rFonts w:asciiTheme="minorHAnsi" w:eastAsiaTheme="minorHAnsi" w:hAnsiTheme="minorHAnsi" w:cstheme="minorBidi"/>
          <w:color w:val="auto"/>
          <w:sz w:val="22"/>
          <w:szCs w:val="22"/>
          <w:lang w:val="it-IT"/>
        </w:rPr>
        <w:t>oro</w:t>
      </w:r>
      <w:r w:rsidRPr="00556141">
        <w:rPr>
          <w:rFonts w:asciiTheme="minorHAnsi" w:eastAsiaTheme="minorHAnsi" w:hAnsiTheme="minorHAnsi" w:cstheme="minorBidi"/>
          <w:color w:val="auto"/>
          <w:sz w:val="22"/>
          <w:szCs w:val="22"/>
          <w:lang w:val="it-IT"/>
        </w:rPr>
        <w:t>”</w:t>
      </w:r>
      <w:r w:rsidR="00311B19" w:rsidRPr="00556141">
        <w:rPr>
          <w:rFonts w:asciiTheme="minorHAnsi" w:eastAsiaTheme="minorHAnsi" w:hAnsiTheme="minorHAnsi" w:cstheme="minorBidi"/>
          <w:color w:val="auto"/>
          <w:sz w:val="22"/>
          <w:szCs w:val="22"/>
          <w:lang w:val="it-IT"/>
        </w:rPr>
        <w:t>: attinenza al tema, proporzionalità, possibilità di verifica, trasparenza.</w:t>
      </w:r>
    </w:p>
    <w:p w14:paraId="77A558A5" w14:textId="4FCBB312" w:rsidR="00015A7F" w:rsidRPr="00556141" w:rsidRDefault="00311B19" w:rsidP="00311B19">
      <w:pPr>
        <w:pStyle w:val="berschrift2"/>
        <w:numPr>
          <w:ilvl w:val="0"/>
          <w:numId w:val="15"/>
        </w:numPr>
        <w:rPr>
          <w:rFonts w:asciiTheme="minorHAnsi" w:eastAsiaTheme="minorHAnsi" w:hAnsiTheme="minorHAnsi" w:cstheme="minorBidi"/>
          <w:color w:val="auto"/>
          <w:sz w:val="22"/>
          <w:szCs w:val="22"/>
          <w:lang w:val="it-IT"/>
        </w:rPr>
      </w:pPr>
      <w:r w:rsidRPr="00556141">
        <w:rPr>
          <w:rFonts w:asciiTheme="minorHAnsi" w:eastAsiaTheme="minorHAnsi" w:hAnsiTheme="minorHAnsi" w:cstheme="minorBidi"/>
          <w:color w:val="auto"/>
          <w:sz w:val="22"/>
          <w:szCs w:val="22"/>
          <w:lang w:val="it-IT"/>
        </w:rPr>
        <w:t>Suggerimenti per la formazione di altri: come illustrare questi punti con esempi pratici?</w:t>
      </w:r>
    </w:p>
    <w:p w14:paraId="64429CFC" w14:textId="6FD19129" w:rsidR="001F159E" w:rsidRPr="00556141" w:rsidRDefault="00BE02A2" w:rsidP="00BE02A2">
      <w:pPr>
        <w:pStyle w:val="berschrift2"/>
        <w:rPr>
          <w:rFonts w:asciiTheme="minorHAnsi" w:hAnsiTheme="minorHAnsi"/>
          <w:lang w:val="it-IT"/>
        </w:rPr>
      </w:pPr>
      <w:r w:rsidRPr="00556141">
        <w:rPr>
          <w:rFonts w:asciiTheme="minorHAnsi" w:hAnsiTheme="minorHAnsi"/>
          <w:lang w:val="it-IT"/>
        </w:rPr>
        <w:t>4</w:t>
      </w:r>
      <w:r w:rsidR="001F159E" w:rsidRPr="00556141">
        <w:rPr>
          <w:rFonts w:asciiTheme="minorHAnsi" w:hAnsiTheme="minorHAnsi"/>
          <w:lang w:val="it-IT"/>
        </w:rPr>
        <w:t xml:space="preserve">. </w:t>
      </w:r>
      <w:r w:rsidR="001B627C" w:rsidRPr="00556141">
        <w:rPr>
          <w:rFonts w:asciiTheme="minorHAnsi" w:hAnsiTheme="minorHAnsi"/>
          <w:lang w:val="it-IT"/>
        </w:rPr>
        <w:t>Indicazioni per il formatore</w:t>
      </w:r>
    </w:p>
    <w:p w14:paraId="61D554E0" w14:textId="5E2CD114" w:rsidR="001B627C" w:rsidRPr="00556141" w:rsidRDefault="001B627C" w:rsidP="001B627C">
      <w:pPr>
        <w:pStyle w:val="Listenabsatz"/>
        <w:numPr>
          <w:ilvl w:val="0"/>
          <w:numId w:val="16"/>
        </w:numPr>
        <w:rPr>
          <w:lang w:val="it-IT"/>
        </w:rPr>
      </w:pPr>
      <w:r w:rsidRPr="00556141">
        <w:rPr>
          <w:lang w:val="it-IT"/>
        </w:rPr>
        <w:t>Mantenete un tono oggettivo: sottolineate che la sostenibilità è legalmente possibile se adeguatamente collegata all</w:t>
      </w:r>
      <w:r w:rsidR="0058326F" w:rsidRPr="00556141">
        <w:rPr>
          <w:lang w:val="it-IT"/>
        </w:rPr>
        <w:t>’</w:t>
      </w:r>
      <w:r w:rsidRPr="00556141">
        <w:rPr>
          <w:lang w:val="it-IT"/>
        </w:rPr>
        <w:t>oggetto dell</w:t>
      </w:r>
      <w:r w:rsidR="0058326F" w:rsidRPr="00556141">
        <w:rPr>
          <w:lang w:val="it-IT"/>
        </w:rPr>
        <w:t>’</w:t>
      </w:r>
      <w:r w:rsidRPr="00556141">
        <w:rPr>
          <w:lang w:val="it-IT"/>
        </w:rPr>
        <w:t>appalto.</w:t>
      </w:r>
    </w:p>
    <w:p w14:paraId="2A21B3F8" w14:textId="0BDECF07" w:rsidR="001B627C" w:rsidRPr="00556141" w:rsidRDefault="001B627C" w:rsidP="001B627C">
      <w:pPr>
        <w:pStyle w:val="Listenabsatz"/>
        <w:numPr>
          <w:ilvl w:val="0"/>
          <w:numId w:val="16"/>
        </w:numPr>
        <w:rPr>
          <w:lang w:val="it-IT"/>
        </w:rPr>
      </w:pPr>
      <w:r w:rsidRPr="00556141">
        <w:rPr>
          <w:lang w:val="it-IT"/>
        </w:rPr>
        <w:t>Stimola</w:t>
      </w:r>
      <w:r w:rsidR="00F666B5" w:rsidRPr="00556141">
        <w:rPr>
          <w:lang w:val="it-IT"/>
        </w:rPr>
        <w:t>te</w:t>
      </w:r>
      <w:r w:rsidRPr="00556141">
        <w:rPr>
          <w:lang w:val="it-IT"/>
        </w:rPr>
        <w:t xml:space="preserve"> la discussione sulle zone grigie (ad esempio, approvvigionamento locale vs. riduzione delle emissioni dovute al trasporto).</w:t>
      </w:r>
    </w:p>
    <w:p w14:paraId="7C64EA4F" w14:textId="0BFAA893" w:rsidR="001F159E" w:rsidRPr="00556141" w:rsidRDefault="001B627C" w:rsidP="001B627C">
      <w:pPr>
        <w:pStyle w:val="Listenabsatz"/>
        <w:numPr>
          <w:ilvl w:val="0"/>
          <w:numId w:val="16"/>
        </w:numPr>
        <w:rPr>
          <w:lang w:val="it-IT"/>
        </w:rPr>
      </w:pPr>
      <w:r w:rsidRPr="00556141">
        <w:rPr>
          <w:lang w:val="it-IT"/>
        </w:rPr>
        <w:t>Se possibile, utilizzate esempi adeguati al quadro giuridico specifico dei paesi dei partecipanti.</w:t>
      </w:r>
    </w:p>
    <w:p w14:paraId="02F398D2" w14:textId="77777777" w:rsidR="006734DE" w:rsidRPr="00556141" w:rsidRDefault="006734DE">
      <w:pPr>
        <w:spacing w:after="0" w:line="240" w:lineRule="auto"/>
        <w:rPr>
          <w:rFonts w:eastAsiaTheme="majorEastAsia" w:cstheme="majorBidi"/>
          <w:color w:val="0F4761" w:themeColor="accent1" w:themeShade="BF"/>
          <w:sz w:val="40"/>
          <w:szCs w:val="40"/>
          <w:lang w:val="it-IT"/>
        </w:rPr>
      </w:pPr>
      <w:r w:rsidRPr="00556141">
        <w:rPr>
          <w:lang w:val="it-IT"/>
        </w:rPr>
        <w:br w:type="page"/>
      </w:r>
    </w:p>
    <w:p w14:paraId="1B618E00" w14:textId="2B8DF154" w:rsidR="00BE02A2" w:rsidRPr="00556141" w:rsidRDefault="00FF3662" w:rsidP="001F159E">
      <w:pPr>
        <w:rPr>
          <w:rFonts w:cs="Segoe UI Emoji"/>
          <w:b/>
          <w:bCs/>
          <w:lang w:val="it-IT"/>
        </w:rPr>
      </w:pPr>
      <w:r w:rsidRPr="00556141">
        <w:rPr>
          <w:rFonts w:eastAsiaTheme="majorEastAsia" w:cstheme="majorBidi"/>
          <w:color w:val="0F4761" w:themeColor="accent1" w:themeShade="BF"/>
          <w:sz w:val="40"/>
          <w:szCs w:val="40"/>
          <w:lang w:val="it-IT"/>
        </w:rPr>
        <w:lastRenderedPageBreak/>
        <w:t>Dispensa: Esempi di bandi di gara – Come e dove la sostenibilità può essere presa in considerazione dal punto di vista giuridico</w:t>
      </w:r>
    </w:p>
    <w:p w14:paraId="65C5DE5A" w14:textId="5C0B134F" w:rsidR="001F159E" w:rsidRPr="00556141" w:rsidRDefault="001F159E" w:rsidP="00BE02A2">
      <w:pPr>
        <w:pStyle w:val="berschrift2"/>
        <w:rPr>
          <w:rFonts w:asciiTheme="minorHAnsi" w:hAnsiTheme="minorHAnsi"/>
          <w:lang w:val="it-IT"/>
        </w:rPr>
      </w:pPr>
      <w:r w:rsidRPr="00556141">
        <w:rPr>
          <w:rFonts w:asciiTheme="minorHAnsi" w:hAnsiTheme="minorHAnsi"/>
          <w:lang w:val="it-IT"/>
        </w:rPr>
        <w:t xml:space="preserve">Scenario 1: </w:t>
      </w:r>
      <w:r w:rsidR="00FF3662" w:rsidRPr="00556141">
        <w:rPr>
          <w:rFonts w:asciiTheme="minorHAnsi" w:hAnsiTheme="minorHAnsi"/>
          <w:lang w:val="it-IT"/>
        </w:rPr>
        <w:t>Appalto di mobili per ufficio</w:t>
      </w:r>
    </w:p>
    <w:p w14:paraId="1DC79118" w14:textId="77777777" w:rsidR="00FF3662" w:rsidRPr="00556141" w:rsidRDefault="00FF3662" w:rsidP="00FF3662">
      <w:pPr>
        <w:rPr>
          <w:lang w:val="it-IT"/>
        </w:rPr>
      </w:pPr>
      <w:r w:rsidRPr="00556141">
        <w:rPr>
          <w:lang w:val="it-IT"/>
        </w:rPr>
        <w:t>Il committente stabilisce:</w:t>
      </w:r>
    </w:p>
    <w:p w14:paraId="3ED906A7" w14:textId="478C5152" w:rsidR="00FF3662" w:rsidRPr="00556141" w:rsidRDefault="0058326F" w:rsidP="00FF3662">
      <w:pPr>
        <w:rPr>
          <w:lang w:val="it-IT"/>
        </w:rPr>
      </w:pPr>
      <w:r w:rsidRPr="00556141">
        <w:rPr>
          <w:lang w:val="it-IT"/>
        </w:rPr>
        <w:t>“</w:t>
      </w:r>
      <w:r w:rsidR="00FF3662" w:rsidRPr="00556141">
        <w:rPr>
          <w:lang w:val="it-IT"/>
        </w:rPr>
        <w:t>Tutte le scrivanie devono essere prodotte localmente entro un raggio di 50 km per ridurre le emissioni di CO₂ dovute al trasporto</w:t>
      </w:r>
      <w:r w:rsidRPr="00556141">
        <w:rPr>
          <w:lang w:val="it-IT"/>
        </w:rPr>
        <w:t>”</w:t>
      </w:r>
      <w:r w:rsidR="00FF3662" w:rsidRPr="00556141">
        <w:rPr>
          <w:lang w:val="it-IT"/>
        </w:rPr>
        <w:t>.</w:t>
      </w:r>
    </w:p>
    <w:p w14:paraId="7E38E899" w14:textId="0E328B7C" w:rsidR="001F159E" w:rsidRPr="00556141" w:rsidRDefault="00FF3662" w:rsidP="00FF3662">
      <w:pPr>
        <w:rPr>
          <w:lang w:val="it-IT"/>
        </w:rPr>
      </w:pPr>
      <w:r w:rsidRPr="00556141">
        <w:rPr>
          <w:b/>
          <w:bCs/>
          <w:lang w:val="it-IT"/>
        </w:rPr>
        <w:t>Analisi</w:t>
      </w:r>
      <w:r w:rsidR="001F159E" w:rsidRPr="00556141">
        <w:rPr>
          <w:b/>
          <w:bCs/>
          <w:lang w:val="it-IT"/>
        </w:rPr>
        <w:t>:</w:t>
      </w:r>
    </w:p>
    <w:p w14:paraId="68403722" w14:textId="5206CE5E" w:rsidR="001F159E" w:rsidRPr="00556141" w:rsidRDefault="00FF3662" w:rsidP="001F159E">
      <w:pPr>
        <w:numPr>
          <w:ilvl w:val="0"/>
          <w:numId w:val="7"/>
        </w:numPr>
        <w:rPr>
          <w:lang w:val="it-IT"/>
        </w:rPr>
      </w:pPr>
      <w:r w:rsidRPr="00556141">
        <w:rPr>
          <w:b/>
          <w:bCs/>
          <w:lang w:val="it-IT"/>
        </w:rPr>
        <w:t>Fase</w:t>
      </w:r>
      <w:r w:rsidR="001F159E" w:rsidRPr="00556141">
        <w:rPr>
          <w:b/>
          <w:bCs/>
          <w:lang w:val="it-IT"/>
        </w:rPr>
        <w:t xml:space="preserve">: </w:t>
      </w:r>
      <w:r w:rsidRPr="00556141">
        <w:rPr>
          <w:lang w:val="it-IT"/>
        </w:rPr>
        <w:t xml:space="preserve">dati tecnici </w:t>
      </w:r>
    </w:p>
    <w:p w14:paraId="6C1BE212" w14:textId="0F603695" w:rsidR="00FF3662" w:rsidRPr="00556141" w:rsidRDefault="00567D01" w:rsidP="001F159E">
      <w:pPr>
        <w:numPr>
          <w:ilvl w:val="0"/>
          <w:numId w:val="7"/>
        </w:numPr>
        <w:rPr>
          <w:lang w:val="it-IT"/>
        </w:rPr>
      </w:pPr>
      <w:r w:rsidRPr="00556141">
        <w:rPr>
          <w:b/>
          <w:bCs/>
          <w:lang w:val="it-IT"/>
        </w:rPr>
        <w:t>Legittimità</w:t>
      </w:r>
      <w:r w:rsidR="00FF3662" w:rsidRPr="00556141">
        <w:rPr>
          <w:b/>
          <w:bCs/>
          <w:lang w:val="it-IT"/>
        </w:rPr>
        <w:t xml:space="preserve">: </w:t>
      </w:r>
      <w:r w:rsidR="00FF3662" w:rsidRPr="00556141">
        <w:rPr>
          <w:lang w:val="it-IT"/>
        </w:rPr>
        <w:t>il requisito della produzione locale limita direttamente la concorrenza e discrimina i fornitori non locali, il che è probabilmente illegale secondo il diritto degli appalti pubblici.</w:t>
      </w:r>
    </w:p>
    <w:p w14:paraId="038C2E35" w14:textId="77777777" w:rsidR="00FF3662" w:rsidRPr="00556141" w:rsidRDefault="00FF3662" w:rsidP="001F159E">
      <w:pPr>
        <w:numPr>
          <w:ilvl w:val="0"/>
          <w:numId w:val="7"/>
        </w:numPr>
        <w:rPr>
          <w:lang w:val="it-IT"/>
        </w:rPr>
      </w:pPr>
      <w:r w:rsidRPr="00556141">
        <w:rPr>
          <w:b/>
          <w:bCs/>
          <w:lang w:val="it-IT"/>
        </w:rPr>
        <w:t xml:space="preserve">Obiettivo fondamentale: </w:t>
      </w:r>
      <w:r w:rsidRPr="00556141">
        <w:rPr>
          <w:lang w:val="it-IT"/>
        </w:rPr>
        <w:t>riduzione delle emissioni legate al traffico (obiettivo ambientale).</w:t>
      </w:r>
    </w:p>
    <w:p w14:paraId="59799A5C" w14:textId="77777777" w:rsidR="00FF3662" w:rsidRPr="00556141" w:rsidRDefault="00FF3662" w:rsidP="001F159E">
      <w:pPr>
        <w:numPr>
          <w:ilvl w:val="0"/>
          <w:numId w:val="7"/>
        </w:numPr>
        <w:rPr>
          <w:lang w:val="it-IT"/>
        </w:rPr>
      </w:pPr>
      <w:r w:rsidRPr="00556141">
        <w:rPr>
          <w:b/>
          <w:bCs/>
          <w:lang w:val="it-IT"/>
        </w:rPr>
        <w:t xml:space="preserve">Correzione (alternativa legittima): </w:t>
      </w:r>
      <w:r w:rsidRPr="00556141">
        <w:rPr>
          <w:lang w:val="it-IT"/>
        </w:rPr>
        <w:t>criterio di aggiudicazione: «I punti vengono assegnati in base alle prestazioni ambientali (emissioni di CO₂) della fornitura, calcolate sulla base della distanza totale di trasporto (in km) e della classe di emissioni dei veicoli utilizzati per il trasporto delle merci al luogo di consegna».</w:t>
      </w:r>
    </w:p>
    <w:p w14:paraId="2B97F4F0" w14:textId="35FA2C13" w:rsidR="00FF3662" w:rsidRPr="00556141" w:rsidRDefault="00FF3662" w:rsidP="001F159E">
      <w:pPr>
        <w:numPr>
          <w:ilvl w:val="0"/>
          <w:numId w:val="7"/>
        </w:numPr>
        <w:rPr>
          <w:lang w:val="it-IT"/>
        </w:rPr>
      </w:pPr>
      <w:r w:rsidRPr="00556141">
        <w:rPr>
          <w:b/>
          <w:bCs/>
          <w:lang w:val="it-IT"/>
        </w:rPr>
        <w:t xml:space="preserve">Principio giuridico rispettato: </w:t>
      </w:r>
      <w:r w:rsidRPr="00556141">
        <w:rPr>
          <w:lang w:val="it-IT"/>
        </w:rPr>
        <w:t>parità di trattamento, libera concorrenza, proporzionalità.</w:t>
      </w:r>
    </w:p>
    <w:p w14:paraId="412F6025" w14:textId="41F89ACC" w:rsidR="001F159E" w:rsidRPr="00556141" w:rsidRDefault="001F159E" w:rsidP="001F159E">
      <w:pPr>
        <w:rPr>
          <w:lang w:val="it-IT"/>
        </w:rPr>
      </w:pPr>
      <w:r w:rsidRPr="00556141">
        <w:rPr>
          <w:b/>
          <w:bCs/>
          <w:lang w:val="it-IT"/>
        </w:rPr>
        <w:t xml:space="preserve">Da fare: </w:t>
      </w:r>
      <w:r w:rsidR="00FF3662" w:rsidRPr="00556141">
        <w:rPr>
          <w:lang w:val="it-IT"/>
        </w:rPr>
        <w:t>concentrarsi sul bilancio ambientale (riduzione di CO₂).</w:t>
      </w:r>
      <w:r w:rsidRPr="00556141">
        <w:rPr>
          <w:lang w:val="it-IT"/>
        </w:rPr>
        <w:br/>
      </w:r>
      <w:r w:rsidRPr="00556141">
        <w:rPr>
          <w:b/>
          <w:bCs/>
          <w:lang w:val="it-IT"/>
        </w:rPr>
        <w:t xml:space="preserve">Da non fare: </w:t>
      </w:r>
      <w:r w:rsidR="00FF3662" w:rsidRPr="00556141">
        <w:rPr>
          <w:lang w:val="it-IT"/>
        </w:rPr>
        <w:t>indicazione obbligatoria dell</w:t>
      </w:r>
      <w:r w:rsidR="0058326F" w:rsidRPr="00556141">
        <w:rPr>
          <w:lang w:val="it-IT"/>
        </w:rPr>
        <w:t>’</w:t>
      </w:r>
      <w:r w:rsidR="00FF3662" w:rsidRPr="00556141">
        <w:rPr>
          <w:lang w:val="it-IT"/>
        </w:rPr>
        <w:t>origine geografica o del luogo di produzione.</w:t>
      </w:r>
    </w:p>
    <w:p w14:paraId="51883ADE" w14:textId="62C58AF1" w:rsidR="001F159E" w:rsidRPr="00556141" w:rsidRDefault="001F159E" w:rsidP="001F159E">
      <w:pPr>
        <w:rPr>
          <w:lang w:val="it-IT"/>
        </w:rPr>
      </w:pPr>
    </w:p>
    <w:p w14:paraId="724735CE" w14:textId="2FB90774" w:rsidR="001F159E" w:rsidRPr="00556141" w:rsidRDefault="001F159E" w:rsidP="00AE4366">
      <w:pPr>
        <w:pStyle w:val="berschrift2"/>
        <w:rPr>
          <w:rFonts w:asciiTheme="minorHAnsi" w:hAnsiTheme="minorHAnsi"/>
          <w:lang w:val="it-IT"/>
        </w:rPr>
      </w:pPr>
      <w:r w:rsidRPr="00556141">
        <w:rPr>
          <w:rFonts w:asciiTheme="minorHAnsi" w:hAnsiTheme="minorHAnsi"/>
          <w:lang w:val="it-IT"/>
        </w:rPr>
        <w:t xml:space="preserve">Scenario 2: </w:t>
      </w:r>
      <w:r w:rsidR="00EF668E" w:rsidRPr="00556141">
        <w:rPr>
          <w:rFonts w:asciiTheme="minorHAnsi" w:hAnsiTheme="minorHAnsi"/>
          <w:lang w:val="it-IT"/>
        </w:rPr>
        <w:t>Servizio</w:t>
      </w:r>
      <w:r w:rsidRPr="00556141">
        <w:rPr>
          <w:rFonts w:asciiTheme="minorHAnsi" w:hAnsiTheme="minorHAnsi"/>
          <w:lang w:val="it-IT"/>
        </w:rPr>
        <w:t xml:space="preserve"> di catering</w:t>
      </w:r>
    </w:p>
    <w:p w14:paraId="03E3774D" w14:textId="77777777" w:rsidR="00EF668E" w:rsidRPr="00556141" w:rsidRDefault="00EF668E" w:rsidP="001F159E">
      <w:pPr>
        <w:rPr>
          <w:lang w:val="it-IT"/>
        </w:rPr>
      </w:pPr>
      <w:r w:rsidRPr="00556141">
        <w:rPr>
          <w:lang w:val="it-IT"/>
        </w:rPr>
        <w:t>I criteri di aggiudicazione prevedono 25 punti per gli offerenti che offrono prodotti biologici e del commercio equo e solidale certificati.</w:t>
      </w:r>
    </w:p>
    <w:p w14:paraId="52504654" w14:textId="11CC2DB5" w:rsidR="001F159E" w:rsidRPr="00556141" w:rsidRDefault="00EF668E" w:rsidP="001F159E">
      <w:pPr>
        <w:rPr>
          <w:lang w:val="it-IT"/>
        </w:rPr>
      </w:pPr>
      <w:r w:rsidRPr="00556141">
        <w:rPr>
          <w:b/>
          <w:bCs/>
          <w:lang w:val="it-IT"/>
        </w:rPr>
        <w:t>Analisi</w:t>
      </w:r>
      <w:r w:rsidR="001F159E" w:rsidRPr="00556141">
        <w:rPr>
          <w:b/>
          <w:bCs/>
          <w:lang w:val="it-IT"/>
        </w:rPr>
        <w:t>:</w:t>
      </w:r>
    </w:p>
    <w:p w14:paraId="6CA6F44E" w14:textId="2EA75A98" w:rsidR="001F159E" w:rsidRPr="00556141" w:rsidRDefault="00EF668E" w:rsidP="001F159E">
      <w:pPr>
        <w:numPr>
          <w:ilvl w:val="0"/>
          <w:numId w:val="8"/>
        </w:numPr>
        <w:rPr>
          <w:lang w:val="it-IT"/>
        </w:rPr>
      </w:pPr>
      <w:r w:rsidRPr="00556141">
        <w:rPr>
          <w:b/>
          <w:bCs/>
          <w:lang w:val="it-IT"/>
        </w:rPr>
        <w:t>Livello</w:t>
      </w:r>
      <w:r w:rsidR="001F159E" w:rsidRPr="00556141">
        <w:rPr>
          <w:b/>
          <w:bCs/>
          <w:lang w:val="it-IT"/>
        </w:rPr>
        <w:t xml:space="preserve">: </w:t>
      </w:r>
      <w:r w:rsidRPr="00556141">
        <w:rPr>
          <w:lang w:val="it-IT"/>
        </w:rPr>
        <w:t>criteri di aggiudicazione</w:t>
      </w:r>
    </w:p>
    <w:p w14:paraId="08FC0013" w14:textId="287F7C28" w:rsidR="00EF668E" w:rsidRPr="00556141" w:rsidRDefault="00EF668E" w:rsidP="001F159E">
      <w:pPr>
        <w:numPr>
          <w:ilvl w:val="0"/>
          <w:numId w:val="8"/>
        </w:numPr>
        <w:rPr>
          <w:lang w:val="it-IT"/>
        </w:rPr>
      </w:pPr>
      <w:r w:rsidRPr="00556141">
        <w:rPr>
          <w:b/>
          <w:bCs/>
          <w:lang w:val="it-IT"/>
        </w:rPr>
        <w:t xml:space="preserve">Legittimità: </w:t>
      </w:r>
      <w:r w:rsidRPr="00556141">
        <w:rPr>
          <w:lang w:val="it-IT"/>
        </w:rPr>
        <w:t>ammissibile se la certificazione è correlata all</w:t>
      </w:r>
      <w:r w:rsidR="0058326F" w:rsidRPr="00556141">
        <w:rPr>
          <w:lang w:val="it-IT"/>
        </w:rPr>
        <w:t>’</w:t>
      </w:r>
      <w:r w:rsidRPr="00556141">
        <w:rPr>
          <w:lang w:val="it-IT"/>
        </w:rPr>
        <w:t xml:space="preserve">oggetto (prodotti alimentari forniti) e vengono accettate </w:t>
      </w:r>
      <w:r w:rsidR="00F666B5" w:rsidRPr="00556141">
        <w:rPr>
          <w:lang w:val="it-IT"/>
        </w:rPr>
        <w:t>attestazioni</w:t>
      </w:r>
      <w:r w:rsidRPr="00556141">
        <w:rPr>
          <w:lang w:val="it-IT"/>
        </w:rPr>
        <w:t xml:space="preserve"> </w:t>
      </w:r>
      <w:r w:rsidR="0058326F" w:rsidRPr="00556141">
        <w:rPr>
          <w:lang w:val="it-IT"/>
        </w:rPr>
        <w:t>“</w:t>
      </w:r>
      <w:r w:rsidRPr="00556141">
        <w:rPr>
          <w:lang w:val="it-IT"/>
        </w:rPr>
        <w:t>equivalenti</w:t>
      </w:r>
      <w:r w:rsidR="0058326F" w:rsidRPr="00556141">
        <w:rPr>
          <w:lang w:val="it-IT"/>
        </w:rPr>
        <w:t>”</w:t>
      </w:r>
      <w:r w:rsidRPr="00556141">
        <w:rPr>
          <w:lang w:val="it-IT"/>
        </w:rPr>
        <w:t>.</w:t>
      </w:r>
    </w:p>
    <w:p w14:paraId="0C77622D" w14:textId="3627BBDB" w:rsidR="00567D01" w:rsidRPr="00556141" w:rsidRDefault="00EF668E" w:rsidP="001F159E">
      <w:pPr>
        <w:numPr>
          <w:ilvl w:val="0"/>
          <w:numId w:val="8"/>
        </w:numPr>
        <w:rPr>
          <w:b/>
          <w:bCs/>
          <w:lang w:val="it-IT"/>
        </w:rPr>
      </w:pPr>
      <w:r w:rsidRPr="00556141">
        <w:rPr>
          <w:b/>
          <w:bCs/>
          <w:lang w:val="it-IT"/>
        </w:rPr>
        <w:lastRenderedPageBreak/>
        <w:t xml:space="preserve">Correzione (per garantire la certezza del diritto): </w:t>
      </w:r>
      <w:r w:rsidRPr="00556141">
        <w:rPr>
          <w:lang w:val="it-IT"/>
        </w:rPr>
        <w:t xml:space="preserve">vengono assegnati fino a 25 punti per la percentuale di alimenti biologici e del commercio equo e solidale, comprovata da marchi riconosciuti o </w:t>
      </w:r>
      <w:r w:rsidR="00F666B5" w:rsidRPr="00556141">
        <w:rPr>
          <w:lang w:val="it-IT"/>
        </w:rPr>
        <w:t xml:space="preserve">attestati equiparabili che dimostrano il rispetto di standard di sostenibilità equivalenti. </w:t>
      </w:r>
    </w:p>
    <w:p w14:paraId="4403764C" w14:textId="54CE614B" w:rsidR="00567D01" w:rsidRPr="00556141" w:rsidRDefault="00567D01" w:rsidP="001F159E">
      <w:pPr>
        <w:numPr>
          <w:ilvl w:val="0"/>
          <w:numId w:val="8"/>
        </w:numPr>
        <w:rPr>
          <w:b/>
          <w:bCs/>
          <w:lang w:val="it-IT"/>
        </w:rPr>
      </w:pPr>
      <w:r w:rsidRPr="00556141">
        <w:rPr>
          <w:b/>
          <w:bCs/>
          <w:lang w:val="it-IT"/>
        </w:rPr>
        <w:t xml:space="preserve">Principio giuridico rispettato: </w:t>
      </w:r>
      <w:r w:rsidRPr="00556141">
        <w:rPr>
          <w:lang w:val="it-IT"/>
        </w:rPr>
        <w:t>non discriminazione, trasparenza.</w:t>
      </w:r>
    </w:p>
    <w:p w14:paraId="7D435CFE" w14:textId="29DBF6E1" w:rsidR="001F159E" w:rsidRPr="00556141" w:rsidRDefault="00567D01" w:rsidP="001F159E">
      <w:pPr>
        <w:rPr>
          <w:lang w:val="it-IT"/>
        </w:rPr>
      </w:pPr>
      <w:r w:rsidRPr="00556141">
        <w:rPr>
          <w:b/>
          <w:lang w:val="it-IT"/>
        </w:rPr>
        <w:t>Da fare</w:t>
      </w:r>
      <w:r w:rsidRPr="00556141">
        <w:rPr>
          <w:b/>
          <w:bCs/>
          <w:lang w:val="it-IT"/>
        </w:rPr>
        <w:t xml:space="preserve">: </w:t>
      </w:r>
      <w:r w:rsidRPr="00556141">
        <w:rPr>
          <w:lang w:val="it-IT"/>
        </w:rPr>
        <w:t>utilizzare criteri di aggiudicazione legati alla sostenibilità che siano correlati all</w:t>
      </w:r>
      <w:r w:rsidR="0058326F" w:rsidRPr="00556141">
        <w:rPr>
          <w:lang w:val="it-IT"/>
        </w:rPr>
        <w:t>’</w:t>
      </w:r>
      <w:r w:rsidRPr="00556141">
        <w:rPr>
          <w:lang w:val="it-IT"/>
        </w:rPr>
        <w:t>oggetto del contratto.</w:t>
      </w:r>
      <w:r w:rsidR="001F159E" w:rsidRPr="00556141">
        <w:rPr>
          <w:lang w:val="it-IT"/>
        </w:rPr>
        <w:br/>
      </w:r>
      <w:r w:rsidR="001F159E" w:rsidRPr="00556141">
        <w:rPr>
          <w:b/>
          <w:bCs/>
          <w:lang w:val="it-IT"/>
        </w:rPr>
        <w:t xml:space="preserve">Da non fare: </w:t>
      </w:r>
      <w:r w:rsidRPr="00556141">
        <w:rPr>
          <w:lang w:val="it-IT"/>
        </w:rPr>
        <w:t>richiedere solo etichette specifiche (senza equivalenza).</w:t>
      </w:r>
    </w:p>
    <w:p w14:paraId="426BFD72" w14:textId="77777777" w:rsidR="00AE4366" w:rsidRPr="00556141" w:rsidRDefault="00AE4366" w:rsidP="001F159E">
      <w:pPr>
        <w:rPr>
          <w:rFonts w:cs="Segoe UI Emoji"/>
          <w:b/>
          <w:bCs/>
          <w:lang w:val="it-IT"/>
        </w:rPr>
      </w:pPr>
    </w:p>
    <w:p w14:paraId="5E0796A1" w14:textId="2C28C904" w:rsidR="001F159E" w:rsidRPr="00556141" w:rsidRDefault="001F159E" w:rsidP="00AE4366">
      <w:pPr>
        <w:pStyle w:val="berschrift2"/>
        <w:rPr>
          <w:rFonts w:asciiTheme="minorHAnsi" w:hAnsiTheme="minorHAnsi"/>
          <w:lang w:val="it-IT"/>
        </w:rPr>
      </w:pPr>
      <w:r w:rsidRPr="00556141">
        <w:rPr>
          <w:rFonts w:asciiTheme="minorHAnsi" w:hAnsiTheme="minorHAnsi"/>
          <w:lang w:val="it-IT"/>
        </w:rPr>
        <w:t>Scenario</w:t>
      </w:r>
      <w:r w:rsidR="002E170F" w:rsidRPr="00556141">
        <w:rPr>
          <w:rFonts w:asciiTheme="minorHAnsi" w:hAnsiTheme="minorHAnsi"/>
          <w:lang w:val="it-IT"/>
        </w:rPr>
        <w:t xml:space="preserve"> 3</w:t>
      </w:r>
      <w:r w:rsidRPr="00556141">
        <w:rPr>
          <w:rFonts w:asciiTheme="minorHAnsi" w:hAnsiTheme="minorHAnsi"/>
          <w:lang w:val="it-IT"/>
        </w:rPr>
        <w:t xml:space="preserve">: </w:t>
      </w:r>
      <w:r w:rsidR="00567D01" w:rsidRPr="00556141">
        <w:rPr>
          <w:rFonts w:asciiTheme="minorHAnsi" w:hAnsiTheme="minorHAnsi"/>
          <w:lang w:val="it-IT"/>
        </w:rPr>
        <w:t>gara d</w:t>
      </w:r>
      <w:r w:rsidR="0058326F" w:rsidRPr="00556141">
        <w:rPr>
          <w:rFonts w:asciiTheme="minorHAnsi" w:hAnsiTheme="minorHAnsi"/>
          <w:lang w:val="it-IT"/>
        </w:rPr>
        <w:t>’</w:t>
      </w:r>
      <w:r w:rsidR="00567D01" w:rsidRPr="00556141">
        <w:rPr>
          <w:rFonts w:asciiTheme="minorHAnsi" w:hAnsiTheme="minorHAnsi"/>
          <w:lang w:val="it-IT"/>
        </w:rPr>
        <w:t>appalto per apparecchiature informatiche</w:t>
      </w:r>
    </w:p>
    <w:p w14:paraId="0F6ED5DE" w14:textId="04C22682" w:rsidR="00567D01" w:rsidRPr="00556141" w:rsidRDefault="00F666B5" w:rsidP="001F159E">
      <w:pPr>
        <w:rPr>
          <w:lang w:val="it-IT"/>
        </w:rPr>
      </w:pPr>
      <w:r w:rsidRPr="00556141">
        <w:rPr>
          <w:lang w:val="it-IT"/>
        </w:rPr>
        <w:t>L</w:t>
      </w:r>
      <w:r w:rsidR="0058326F" w:rsidRPr="00556141">
        <w:rPr>
          <w:lang w:val="it-IT"/>
        </w:rPr>
        <w:t>’</w:t>
      </w:r>
      <w:r w:rsidRPr="00556141">
        <w:rPr>
          <w:lang w:val="it-IT"/>
        </w:rPr>
        <w:t>ente committente</w:t>
      </w:r>
      <w:r w:rsidR="00567D01" w:rsidRPr="00556141">
        <w:rPr>
          <w:lang w:val="it-IT"/>
        </w:rPr>
        <w:t xml:space="preserve"> stabilisce: </w:t>
      </w:r>
      <w:r w:rsidR="0058326F" w:rsidRPr="00556141">
        <w:rPr>
          <w:lang w:val="it-IT"/>
        </w:rPr>
        <w:t>“</w:t>
      </w:r>
      <w:r w:rsidR="00567D01" w:rsidRPr="00556141">
        <w:rPr>
          <w:lang w:val="it-IT"/>
        </w:rPr>
        <w:t xml:space="preserve">Tutti i </w:t>
      </w:r>
      <w:r w:rsidR="00E3628D" w:rsidRPr="00556141">
        <w:rPr>
          <w:lang w:val="it-IT"/>
        </w:rPr>
        <w:t xml:space="preserve">computer portatili </w:t>
      </w:r>
      <w:r w:rsidR="00567D01" w:rsidRPr="00556141">
        <w:rPr>
          <w:lang w:val="it-IT"/>
        </w:rPr>
        <w:t>devono essere prodotti dal marchio X, noto per la sua catena di fornitura rispettosa dell</w:t>
      </w:r>
      <w:r w:rsidR="0058326F" w:rsidRPr="00556141">
        <w:rPr>
          <w:lang w:val="it-IT"/>
        </w:rPr>
        <w:t>’</w:t>
      </w:r>
      <w:r w:rsidR="00567D01" w:rsidRPr="00556141">
        <w:rPr>
          <w:lang w:val="it-IT"/>
        </w:rPr>
        <w:t>ambiente</w:t>
      </w:r>
      <w:r w:rsidR="0058326F" w:rsidRPr="00556141">
        <w:rPr>
          <w:lang w:val="it-IT"/>
        </w:rPr>
        <w:t>”</w:t>
      </w:r>
      <w:r w:rsidR="00567D01" w:rsidRPr="00556141">
        <w:rPr>
          <w:lang w:val="it-IT"/>
        </w:rPr>
        <w:t>.</w:t>
      </w:r>
    </w:p>
    <w:p w14:paraId="513967EE" w14:textId="60D99895" w:rsidR="001F159E" w:rsidRPr="00556141" w:rsidRDefault="00567D01" w:rsidP="001F159E">
      <w:pPr>
        <w:rPr>
          <w:lang w:val="it-IT"/>
        </w:rPr>
      </w:pPr>
      <w:r w:rsidRPr="00556141">
        <w:rPr>
          <w:b/>
          <w:bCs/>
          <w:lang w:val="it-IT"/>
        </w:rPr>
        <w:t>Analisi</w:t>
      </w:r>
      <w:r w:rsidR="001F159E" w:rsidRPr="00556141">
        <w:rPr>
          <w:b/>
          <w:bCs/>
          <w:lang w:val="it-IT"/>
        </w:rPr>
        <w:t>:</w:t>
      </w:r>
    </w:p>
    <w:p w14:paraId="2254F944" w14:textId="1AC6BE16" w:rsidR="001F159E" w:rsidRPr="00556141" w:rsidRDefault="00567D01" w:rsidP="001F159E">
      <w:pPr>
        <w:numPr>
          <w:ilvl w:val="0"/>
          <w:numId w:val="10"/>
        </w:numPr>
        <w:rPr>
          <w:lang w:val="it-IT"/>
        </w:rPr>
      </w:pPr>
      <w:r w:rsidRPr="00556141">
        <w:rPr>
          <w:b/>
          <w:bCs/>
          <w:lang w:val="it-IT"/>
        </w:rPr>
        <w:t>Livello</w:t>
      </w:r>
      <w:r w:rsidR="001F159E" w:rsidRPr="00556141">
        <w:rPr>
          <w:b/>
          <w:bCs/>
          <w:lang w:val="it-IT"/>
        </w:rPr>
        <w:t xml:space="preserve">: </w:t>
      </w:r>
      <w:r w:rsidRPr="00556141">
        <w:rPr>
          <w:lang w:val="it-IT"/>
        </w:rPr>
        <w:t>Dati tecnici</w:t>
      </w:r>
    </w:p>
    <w:p w14:paraId="54A4A37C" w14:textId="0ED15661" w:rsidR="00567D01" w:rsidRPr="00556141" w:rsidRDefault="00567D01" w:rsidP="001F159E">
      <w:pPr>
        <w:numPr>
          <w:ilvl w:val="0"/>
          <w:numId w:val="10"/>
        </w:numPr>
        <w:rPr>
          <w:lang w:val="it-IT"/>
        </w:rPr>
      </w:pPr>
      <w:r w:rsidRPr="00556141">
        <w:rPr>
          <w:b/>
          <w:bCs/>
          <w:lang w:val="it-IT"/>
        </w:rPr>
        <w:t xml:space="preserve">Legittimità: </w:t>
      </w:r>
      <w:r w:rsidRPr="00556141">
        <w:rPr>
          <w:lang w:val="it-IT"/>
        </w:rPr>
        <w:t>la menzione di una determinata marca viola la libera concorrenza e la parità di trattamento, a meno che non sia oggettivamente giustificata.</w:t>
      </w:r>
    </w:p>
    <w:p w14:paraId="55384CCA" w14:textId="7442FBD1" w:rsidR="001F159E" w:rsidRPr="00556141" w:rsidRDefault="00567D01" w:rsidP="001F159E">
      <w:pPr>
        <w:numPr>
          <w:ilvl w:val="0"/>
          <w:numId w:val="10"/>
        </w:numPr>
        <w:rPr>
          <w:lang w:val="it-IT"/>
        </w:rPr>
      </w:pPr>
      <w:r w:rsidRPr="00556141">
        <w:rPr>
          <w:b/>
          <w:bCs/>
          <w:lang w:val="it-IT"/>
        </w:rPr>
        <w:t>Correzione</w:t>
      </w:r>
      <w:r w:rsidR="001F159E" w:rsidRPr="00556141">
        <w:rPr>
          <w:b/>
          <w:bCs/>
          <w:lang w:val="it-IT"/>
        </w:rPr>
        <w:t>:</w:t>
      </w:r>
      <w:r w:rsidR="001F159E" w:rsidRPr="00556141">
        <w:rPr>
          <w:lang w:val="it-IT"/>
        </w:rPr>
        <w:br/>
      </w:r>
      <w:r w:rsidR="0058326F" w:rsidRPr="00556141">
        <w:rPr>
          <w:lang w:val="it-IT"/>
        </w:rPr>
        <w:t>“</w:t>
      </w:r>
      <w:r w:rsidRPr="00556141">
        <w:rPr>
          <w:lang w:val="it-IT"/>
        </w:rPr>
        <w:t>I computer portatili devono soddisfare i seguenti standard di prestazione ambientale: classe di efficienza energetica A o superiore, materiali a bassa tossicità e conformità a marchi ambientali riconosciuti o standard equivalenti</w:t>
      </w:r>
      <w:r w:rsidR="0058326F" w:rsidRPr="00556141">
        <w:rPr>
          <w:lang w:val="it-IT"/>
        </w:rPr>
        <w:t>”</w:t>
      </w:r>
      <w:r w:rsidRPr="00556141">
        <w:rPr>
          <w:lang w:val="it-IT"/>
        </w:rPr>
        <w:t>.</w:t>
      </w:r>
    </w:p>
    <w:p w14:paraId="6BE6BB12" w14:textId="7C30FFD6" w:rsidR="001F159E" w:rsidRPr="00556141" w:rsidRDefault="00567D01" w:rsidP="001F159E">
      <w:pPr>
        <w:rPr>
          <w:lang w:val="it-IT"/>
        </w:rPr>
      </w:pPr>
      <w:r w:rsidRPr="00556141">
        <w:rPr>
          <w:b/>
          <w:lang w:val="it-IT"/>
        </w:rPr>
        <w:t>Da fare</w:t>
      </w:r>
      <w:r w:rsidR="001F159E" w:rsidRPr="00556141">
        <w:rPr>
          <w:b/>
          <w:bCs/>
          <w:lang w:val="it-IT"/>
        </w:rPr>
        <w:t xml:space="preserve">: </w:t>
      </w:r>
      <w:r w:rsidRPr="00556141">
        <w:rPr>
          <w:lang w:val="it-IT"/>
        </w:rPr>
        <w:t>definire i requisiti di sostenibilità in termini di funzionalità o prestazioni.</w:t>
      </w:r>
      <w:r w:rsidR="001F159E" w:rsidRPr="00556141">
        <w:rPr>
          <w:lang w:val="it-IT"/>
        </w:rPr>
        <w:br/>
      </w:r>
      <w:r w:rsidR="001F159E" w:rsidRPr="00556141">
        <w:rPr>
          <w:b/>
          <w:bCs/>
          <w:lang w:val="it-IT"/>
        </w:rPr>
        <w:t xml:space="preserve">Da non fare: </w:t>
      </w:r>
      <w:r w:rsidR="001F159E" w:rsidRPr="00556141">
        <w:rPr>
          <w:bCs/>
          <w:lang w:val="it-IT"/>
        </w:rPr>
        <w:t>utilizzare</w:t>
      </w:r>
      <w:r w:rsidR="001F159E" w:rsidRPr="00556141">
        <w:rPr>
          <w:b/>
          <w:bCs/>
          <w:lang w:val="it-IT"/>
        </w:rPr>
        <w:t xml:space="preserve"> </w:t>
      </w:r>
      <w:r w:rsidRPr="00556141">
        <w:rPr>
          <w:lang w:val="it-IT"/>
        </w:rPr>
        <w:t>nomi di marchi come sinonimi di sostenibilità.</w:t>
      </w:r>
    </w:p>
    <w:p w14:paraId="07F929FD" w14:textId="77777777" w:rsidR="00AE4366" w:rsidRPr="00556141" w:rsidRDefault="00AE4366" w:rsidP="001F159E">
      <w:pPr>
        <w:rPr>
          <w:rFonts w:cs="Segoe UI Emoji"/>
          <w:b/>
          <w:bCs/>
          <w:lang w:val="it-IT"/>
        </w:rPr>
      </w:pPr>
    </w:p>
    <w:p w14:paraId="5630CDD8" w14:textId="57D148FC" w:rsidR="001F159E" w:rsidRPr="00556141" w:rsidRDefault="001F159E" w:rsidP="00AE4366">
      <w:pPr>
        <w:pStyle w:val="berschrift2"/>
        <w:rPr>
          <w:rFonts w:asciiTheme="minorHAnsi" w:hAnsiTheme="minorHAnsi"/>
          <w:lang w:val="it-IT"/>
        </w:rPr>
      </w:pPr>
      <w:r w:rsidRPr="00556141">
        <w:rPr>
          <w:rFonts w:asciiTheme="minorHAnsi" w:hAnsiTheme="minorHAnsi"/>
          <w:lang w:val="it-IT"/>
        </w:rPr>
        <w:t>Scenario</w:t>
      </w:r>
      <w:r w:rsidR="002E170F" w:rsidRPr="00556141">
        <w:rPr>
          <w:rFonts w:asciiTheme="minorHAnsi" w:hAnsiTheme="minorHAnsi"/>
          <w:lang w:val="it-IT"/>
        </w:rPr>
        <w:t xml:space="preserve"> 4</w:t>
      </w:r>
      <w:r w:rsidRPr="00556141">
        <w:rPr>
          <w:rFonts w:asciiTheme="minorHAnsi" w:hAnsiTheme="minorHAnsi"/>
          <w:lang w:val="it-IT"/>
        </w:rPr>
        <w:t xml:space="preserve">: </w:t>
      </w:r>
      <w:r w:rsidR="0073446D" w:rsidRPr="00556141">
        <w:rPr>
          <w:rFonts w:asciiTheme="minorHAnsi" w:hAnsiTheme="minorHAnsi"/>
          <w:lang w:val="it-IT"/>
        </w:rPr>
        <w:t>Servizi di pulizia</w:t>
      </w:r>
    </w:p>
    <w:p w14:paraId="74F7255D" w14:textId="60F0F61D" w:rsidR="0073446D" w:rsidRPr="00556141" w:rsidRDefault="0073446D" w:rsidP="001F159E">
      <w:pPr>
        <w:rPr>
          <w:lang w:val="it-IT"/>
        </w:rPr>
      </w:pPr>
      <w:r w:rsidRPr="00556141">
        <w:rPr>
          <w:lang w:val="it-IT"/>
        </w:rPr>
        <w:t xml:space="preserve">Criterio di selezione: </w:t>
      </w:r>
      <w:r w:rsidR="0058326F" w:rsidRPr="00556141">
        <w:rPr>
          <w:lang w:val="it-IT"/>
        </w:rPr>
        <w:t>“</w:t>
      </w:r>
      <w:r w:rsidRPr="00556141">
        <w:rPr>
          <w:lang w:val="it-IT"/>
        </w:rPr>
        <w:t>Gli offerenti devono essere in possesso della certificazione ISO 14001</w:t>
      </w:r>
      <w:r w:rsidR="0058326F" w:rsidRPr="00556141">
        <w:rPr>
          <w:lang w:val="it-IT"/>
        </w:rPr>
        <w:t>”</w:t>
      </w:r>
      <w:r w:rsidRPr="00556141">
        <w:rPr>
          <w:lang w:val="it-IT"/>
        </w:rPr>
        <w:t>.</w:t>
      </w:r>
    </w:p>
    <w:p w14:paraId="5B65687E" w14:textId="25F40D52" w:rsidR="001F159E" w:rsidRPr="00556141" w:rsidRDefault="0073446D" w:rsidP="001F159E">
      <w:pPr>
        <w:rPr>
          <w:lang w:val="it-IT"/>
        </w:rPr>
      </w:pPr>
      <w:r w:rsidRPr="00556141">
        <w:rPr>
          <w:b/>
          <w:bCs/>
          <w:lang w:val="it-IT"/>
        </w:rPr>
        <w:t>Analisi</w:t>
      </w:r>
      <w:r w:rsidR="001F159E" w:rsidRPr="00556141">
        <w:rPr>
          <w:b/>
          <w:bCs/>
          <w:lang w:val="it-IT"/>
        </w:rPr>
        <w:t>:</w:t>
      </w:r>
    </w:p>
    <w:p w14:paraId="5C669EF6" w14:textId="2653E4DC" w:rsidR="001F159E" w:rsidRPr="00556141" w:rsidRDefault="0073446D" w:rsidP="001F159E">
      <w:pPr>
        <w:numPr>
          <w:ilvl w:val="0"/>
          <w:numId w:val="11"/>
        </w:numPr>
        <w:rPr>
          <w:lang w:val="it-IT"/>
        </w:rPr>
      </w:pPr>
      <w:r w:rsidRPr="00556141">
        <w:rPr>
          <w:b/>
          <w:bCs/>
          <w:lang w:val="it-IT"/>
        </w:rPr>
        <w:t>Fase</w:t>
      </w:r>
      <w:r w:rsidR="001F159E" w:rsidRPr="00556141">
        <w:rPr>
          <w:b/>
          <w:bCs/>
          <w:lang w:val="it-IT"/>
        </w:rPr>
        <w:t xml:space="preserve">: </w:t>
      </w:r>
      <w:r w:rsidRPr="00556141">
        <w:rPr>
          <w:lang w:val="it-IT"/>
        </w:rPr>
        <w:t>selezione (qualificazione)</w:t>
      </w:r>
    </w:p>
    <w:p w14:paraId="67ED2080" w14:textId="63E15F25" w:rsidR="001F159E" w:rsidRPr="00556141" w:rsidRDefault="0073446D" w:rsidP="001F159E">
      <w:pPr>
        <w:numPr>
          <w:ilvl w:val="0"/>
          <w:numId w:val="11"/>
        </w:numPr>
        <w:rPr>
          <w:lang w:val="it-IT"/>
        </w:rPr>
      </w:pPr>
      <w:r w:rsidRPr="00556141">
        <w:rPr>
          <w:b/>
          <w:bCs/>
          <w:lang w:val="it-IT"/>
        </w:rPr>
        <w:t>Legittimità</w:t>
      </w:r>
      <w:r w:rsidR="001F159E" w:rsidRPr="00556141">
        <w:rPr>
          <w:b/>
          <w:bCs/>
          <w:lang w:val="it-IT"/>
        </w:rPr>
        <w:t xml:space="preserve">: </w:t>
      </w:r>
      <w:r w:rsidRPr="00556141">
        <w:rPr>
          <w:lang w:val="it-IT"/>
        </w:rPr>
        <w:t>richiedere un determinato certificato è discriminatorio se esistono alternative.</w:t>
      </w:r>
    </w:p>
    <w:p w14:paraId="7D72495F" w14:textId="5491201C" w:rsidR="0073446D" w:rsidRPr="00556141" w:rsidRDefault="0073446D" w:rsidP="001F159E">
      <w:pPr>
        <w:numPr>
          <w:ilvl w:val="0"/>
          <w:numId w:val="11"/>
        </w:numPr>
        <w:rPr>
          <w:lang w:val="it-IT"/>
        </w:rPr>
      </w:pPr>
      <w:r w:rsidRPr="00556141">
        <w:rPr>
          <w:b/>
          <w:bCs/>
          <w:lang w:val="it-IT"/>
        </w:rPr>
        <w:t>Correzione</w:t>
      </w:r>
      <w:r w:rsidR="001F159E" w:rsidRPr="00556141">
        <w:rPr>
          <w:b/>
          <w:bCs/>
          <w:lang w:val="it-IT"/>
        </w:rPr>
        <w:t>:</w:t>
      </w:r>
      <w:r w:rsidR="001F159E" w:rsidRPr="00556141">
        <w:rPr>
          <w:lang w:val="it-IT"/>
        </w:rPr>
        <w:br/>
      </w:r>
      <w:r w:rsidR="0058326F" w:rsidRPr="00556141">
        <w:rPr>
          <w:lang w:val="it-IT"/>
        </w:rPr>
        <w:t>“</w:t>
      </w:r>
      <w:r w:rsidRPr="00556141">
        <w:rPr>
          <w:lang w:val="it-IT"/>
        </w:rPr>
        <w:t xml:space="preserve">Gli offerenti devono dimostrare di disporre di un sistema di gestione ambientale </w:t>
      </w:r>
      <w:r w:rsidRPr="00556141">
        <w:rPr>
          <w:lang w:val="it-IT"/>
        </w:rPr>
        <w:lastRenderedPageBreak/>
        <w:t xml:space="preserve">conforme alla norma ISO 14001 e verificato da una certificazione riconosciuta o da </w:t>
      </w:r>
      <w:r w:rsidR="003D434F" w:rsidRPr="00556141">
        <w:rPr>
          <w:lang w:val="it-IT"/>
        </w:rPr>
        <w:t xml:space="preserve">attestazioni </w:t>
      </w:r>
      <w:r w:rsidRPr="00556141">
        <w:rPr>
          <w:lang w:val="it-IT"/>
        </w:rPr>
        <w:t>equivalenti come EMAS</w:t>
      </w:r>
      <w:r w:rsidR="0058326F" w:rsidRPr="00556141">
        <w:rPr>
          <w:lang w:val="it-IT"/>
        </w:rPr>
        <w:t>”</w:t>
      </w:r>
      <w:r w:rsidRPr="00556141">
        <w:rPr>
          <w:lang w:val="it-IT"/>
        </w:rPr>
        <w:t>.</w:t>
      </w:r>
    </w:p>
    <w:p w14:paraId="4535CFAD" w14:textId="26BD7300" w:rsidR="001F159E" w:rsidRPr="00556141" w:rsidRDefault="001F159E" w:rsidP="001F159E">
      <w:pPr>
        <w:numPr>
          <w:ilvl w:val="0"/>
          <w:numId w:val="11"/>
        </w:numPr>
        <w:rPr>
          <w:lang w:val="it-IT"/>
        </w:rPr>
      </w:pPr>
      <w:r w:rsidRPr="00556141">
        <w:rPr>
          <w:b/>
          <w:bCs/>
          <w:lang w:val="it-IT"/>
        </w:rPr>
        <w:t xml:space="preserve">Da fare: </w:t>
      </w:r>
      <w:r w:rsidR="0073446D" w:rsidRPr="00556141">
        <w:rPr>
          <w:lang w:val="it-IT"/>
        </w:rPr>
        <w:t xml:space="preserve">consentire </w:t>
      </w:r>
      <w:r w:rsidR="00E3628D" w:rsidRPr="00556141">
        <w:rPr>
          <w:lang w:val="it-IT"/>
        </w:rPr>
        <w:t>attestati</w:t>
      </w:r>
      <w:r w:rsidR="0073446D" w:rsidRPr="00556141">
        <w:rPr>
          <w:lang w:val="it-IT"/>
        </w:rPr>
        <w:t xml:space="preserve"> di prestazione equivalenti.</w:t>
      </w:r>
      <w:r w:rsidRPr="00556141">
        <w:rPr>
          <w:lang w:val="it-IT"/>
        </w:rPr>
        <w:br/>
      </w:r>
      <w:r w:rsidRPr="00556141">
        <w:rPr>
          <w:b/>
          <w:bCs/>
          <w:lang w:val="it-IT"/>
        </w:rPr>
        <w:t xml:space="preserve">Da non fare: </w:t>
      </w:r>
      <w:r w:rsidR="0073446D" w:rsidRPr="00556141">
        <w:rPr>
          <w:lang w:val="it-IT"/>
        </w:rPr>
        <w:t>è richiesta un</w:t>
      </w:r>
      <w:r w:rsidR="0058326F" w:rsidRPr="00556141">
        <w:rPr>
          <w:lang w:val="it-IT"/>
        </w:rPr>
        <w:t>’</w:t>
      </w:r>
      <w:r w:rsidR="0073446D" w:rsidRPr="00556141">
        <w:rPr>
          <w:lang w:val="it-IT"/>
        </w:rPr>
        <w:t>unica certificazione specifica.</w:t>
      </w:r>
    </w:p>
    <w:p w14:paraId="023CA57C" w14:textId="77777777" w:rsidR="00EA7BDD" w:rsidRPr="00556141" w:rsidRDefault="00EA7BDD" w:rsidP="009D5F0A">
      <w:pPr>
        <w:rPr>
          <w:lang w:val="it-IT"/>
        </w:rPr>
      </w:pPr>
    </w:p>
    <w:p w14:paraId="7EA1B8F3" w14:textId="6CCC417E" w:rsidR="002651E3" w:rsidRPr="00556141" w:rsidRDefault="002651E3" w:rsidP="002651E3">
      <w:pPr>
        <w:pStyle w:val="berschrift2"/>
        <w:rPr>
          <w:rFonts w:asciiTheme="minorHAnsi" w:hAnsiTheme="minorHAnsi"/>
          <w:lang w:val="it-IT"/>
        </w:rPr>
      </w:pPr>
      <w:r w:rsidRPr="00556141">
        <w:rPr>
          <w:rFonts w:asciiTheme="minorHAnsi" w:hAnsiTheme="minorHAnsi"/>
          <w:lang w:val="it-IT"/>
        </w:rPr>
        <w:t xml:space="preserve">Scenario 5: </w:t>
      </w:r>
      <w:r w:rsidR="0073446D" w:rsidRPr="00556141">
        <w:rPr>
          <w:rFonts w:asciiTheme="minorHAnsi" w:hAnsiTheme="minorHAnsi"/>
          <w:lang w:val="it-IT"/>
        </w:rPr>
        <w:t>fornitura di abiti da lavoro</w:t>
      </w:r>
    </w:p>
    <w:p w14:paraId="0714C812" w14:textId="6C58A3DA" w:rsidR="0073446D" w:rsidRPr="00556141" w:rsidRDefault="00E3628D" w:rsidP="002651E3">
      <w:pPr>
        <w:rPr>
          <w:lang w:val="it-IT"/>
        </w:rPr>
      </w:pPr>
      <w:r w:rsidRPr="00556141">
        <w:rPr>
          <w:lang w:val="it-IT"/>
        </w:rPr>
        <w:t>Il committente pubblico</w:t>
      </w:r>
      <w:r w:rsidR="0073446D" w:rsidRPr="00556141">
        <w:rPr>
          <w:lang w:val="it-IT"/>
        </w:rPr>
        <w:t xml:space="preserve"> richiede che tutti gli indumenti forniti siano «prodotti in modo etico» e che i fornitori dimostrino di rispettare pienamente tutte le convenzioni dell</w:t>
      </w:r>
      <w:r w:rsidR="0058326F" w:rsidRPr="00556141">
        <w:rPr>
          <w:lang w:val="it-IT"/>
        </w:rPr>
        <w:t>’</w:t>
      </w:r>
      <w:r w:rsidR="0073446D" w:rsidRPr="00556141">
        <w:rPr>
          <w:lang w:val="it-IT"/>
        </w:rPr>
        <w:t>ILO lungo l</w:t>
      </w:r>
      <w:r w:rsidR="0058326F" w:rsidRPr="00556141">
        <w:rPr>
          <w:lang w:val="it-IT"/>
        </w:rPr>
        <w:t>’</w:t>
      </w:r>
      <w:r w:rsidR="0073446D" w:rsidRPr="00556141">
        <w:rPr>
          <w:lang w:val="it-IT"/>
        </w:rPr>
        <w:t xml:space="preserve">intera </w:t>
      </w:r>
      <w:r w:rsidRPr="00556141">
        <w:rPr>
          <w:lang w:val="it-IT"/>
        </w:rPr>
        <w:t>filiera</w:t>
      </w:r>
      <w:r w:rsidR="0073446D" w:rsidRPr="00556141">
        <w:rPr>
          <w:lang w:val="it-IT"/>
        </w:rPr>
        <w:t xml:space="preserve"> di approvvigionamento.</w:t>
      </w:r>
    </w:p>
    <w:p w14:paraId="2F95A51B" w14:textId="41EFCA1E" w:rsidR="002651E3" w:rsidRPr="00556141" w:rsidRDefault="0073446D" w:rsidP="002651E3">
      <w:pPr>
        <w:rPr>
          <w:lang w:val="it-IT"/>
        </w:rPr>
      </w:pPr>
      <w:r w:rsidRPr="00556141">
        <w:rPr>
          <w:b/>
          <w:bCs/>
          <w:lang w:val="it-IT"/>
        </w:rPr>
        <w:t>Analisi</w:t>
      </w:r>
      <w:r w:rsidR="002651E3" w:rsidRPr="00556141">
        <w:rPr>
          <w:b/>
          <w:bCs/>
          <w:lang w:val="it-IT"/>
        </w:rPr>
        <w:t>:</w:t>
      </w:r>
    </w:p>
    <w:p w14:paraId="56F29D71" w14:textId="77777777" w:rsidR="00CD7012" w:rsidRPr="00556141" w:rsidRDefault="002651E3" w:rsidP="002651E3">
      <w:pPr>
        <w:numPr>
          <w:ilvl w:val="0"/>
          <w:numId w:val="11"/>
        </w:numPr>
        <w:rPr>
          <w:lang w:val="it-IT"/>
        </w:rPr>
      </w:pPr>
      <w:r w:rsidRPr="00556141">
        <w:rPr>
          <w:b/>
          <w:bCs/>
          <w:lang w:val="it-IT"/>
        </w:rPr>
        <w:t xml:space="preserve">Fase: </w:t>
      </w:r>
      <w:r w:rsidR="00CD7012" w:rsidRPr="00556141">
        <w:rPr>
          <w:lang w:val="it-IT"/>
        </w:rPr>
        <w:t>selezione (qualificazione) o esecuzione del contratto</w:t>
      </w:r>
    </w:p>
    <w:p w14:paraId="043BFDFA" w14:textId="4AF2C3CA" w:rsidR="002651E3" w:rsidRPr="00556141" w:rsidRDefault="00CD7012" w:rsidP="002651E3">
      <w:pPr>
        <w:numPr>
          <w:ilvl w:val="0"/>
          <w:numId w:val="11"/>
        </w:numPr>
        <w:rPr>
          <w:lang w:val="it-IT"/>
        </w:rPr>
      </w:pPr>
      <w:r w:rsidRPr="00556141">
        <w:rPr>
          <w:b/>
          <w:bCs/>
          <w:lang w:val="it-IT"/>
        </w:rPr>
        <w:t>Legittimità</w:t>
      </w:r>
      <w:r w:rsidR="002651E3" w:rsidRPr="00556141">
        <w:rPr>
          <w:b/>
          <w:bCs/>
          <w:lang w:val="it-IT"/>
        </w:rPr>
        <w:t xml:space="preserve">: </w:t>
      </w:r>
      <w:r w:rsidRPr="00556141">
        <w:rPr>
          <w:lang w:val="it-IT"/>
        </w:rPr>
        <w:t>il requisito è troppo generico, troppo vago e oggettivamente difficile da verificare. Il diritto degli appalti pubblici richiede che i criteri siano correlati al contratto, misurabili e verificabili.</w:t>
      </w:r>
    </w:p>
    <w:p w14:paraId="13C6E6AF" w14:textId="4C0D35BB" w:rsidR="002651E3" w:rsidRPr="00556141" w:rsidRDefault="00CD7012" w:rsidP="002651E3">
      <w:pPr>
        <w:numPr>
          <w:ilvl w:val="0"/>
          <w:numId w:val="11"/>
        </w:numPr>
        <w:rPr>
          <w:lang w:val="it-IT"/>
        </w:rPr>
      </w:pPr>
      <w:r w:rsidRPr="00556141">
        <w:rPr>
          <w:b/>
          <w:bCs/>
          <w:lang w:val="it-IT"/>
        </w:rPr>
        <w:t>Correzione</w:t>
      </w:r>
      <w:r w:rsidR="002651E3" w:rsidRPr="00556141">
        <w:rPr>
          <w:b/>
          <w:bCs/>
          <w:lang w:val="it-IT"/>
        </w:rPr>
        <w:t>:</w:t>
      </w:r>
      <w:r w:rsidR="002651E3" w:rsidRPr="00556141">
        <w:rPr>
          <w:lang w:val="it-IT"/>
        </w:rPr>
        <w:br/>
      </w:r>
      <w:r w:rsidRPr="00556141">
        <w:rPr>
          <w:lang w:val="it-IT"/>
        </w:rPr>
        <w:t>«</w:t>
      </w:r>
      <w:r w:rsidR="00E3628D" w:rsidRPr="00556141">
        <w:rPr>
          <w:lang w:val="it-IT"/>
        </w:rPr>
        <w:t>Il committente pubblico</w:t>
      </w:r>
      <w:r w:rsidRPr="00556141">
        <w:rPr>
          <w:lang w:val="it-IT"/>
        </w:rPr>
        <w:t xml:space="preserve"> richiede che la produzione degli indumenti forniti sia conforme alle norme fondamentali del lavoro dell</w:t>
      </w:r>
      <w:r w:rsidR="0058326F" w:rsidRPr="00556141">
        <w:rPr>
          <w:lang w:val="it-IT"/>
        </w:rPr>
        <w:t>’</w:t>
      </w:r>
      <w:r w:rsidRPr="00556141">
        <w:rPr>
          <w:lang w:val="it-IT"/>
        </w:rPr>
        <w:t>Organizzazione internazionale del lavoro (</w:t>
      </w:r>
      <w:r w:rsidR="00E3628D" w:rsidRPr="00556141">
        <w:rPr>
          <w:lang w:val="it-IT"/>
        </w:rPr>
        <w:t>ILO</w:t>
      </w:r>
      <w:r w:rsidRPr="00556141">
        <w:rPr>
          <w:lang w:val="it-IT"/>
        </w:rPr>
        <w:t>) (convenzioni n. 29, 87, 98, 100, 105, 111, 138 e 182).»</w:t>
      </w:r>
    </w:p>
    <w:p w14:paraId="3391788C" w14:textId="77777777" w:rsidR="00CD7012" w:rsidRPr="00556141" w:rsidRDefault="00CD7012" w:rsidP="00CD7012">
      <w:pPr>
        <w:rPr>
          <w:lang w:val="it-IT"/>
        </w:rPr>
      </w:pPr>
      <w:r w:rsidRPr="00556141">
        <w:rPr>
          <w:lang w:val="it-IT"/>
        </w:rPr>
        <w:t>La conformità può essere dimostrata tramite:</w:t>
      </w:r>
    </w:p>
    <w:p w14:paraId="4CB6512E" w14:textId="0C97325B" w:rsidR="00CD7012" w:rsidRPr="00556141" w:rsidRDefault="00CD7012" w:rsidP="00CD7012">
      <w:pPr>
        <w:pStyle w:val="Listenabsatz"/>
        <w:numPr>
          <w:ilvl w:val="0"/>
          <w:numId w:val="17"/>
        </w:numPr>
        <w:rPr>
          <w:lang w:val="it-IT"/>
        </w:rPr>
      </w:pPr>
      <w:r w:rsidRPr="00556141">
        <w:rPr>
          <w:lang w:val="it-IT"/>
        </w:rPr>
        <w:t>l</w:t>
      </w:r>
      <w:r w:rsidR="0058326F" w:rsidRPr="00556141">
        <w:rPr>
          <w:lang w:val="it-IT"/>
        </w:rPr>
        <w:t>’</w:t>
      </w:r>
      <w:r w:rsidRPr="00556141">
        <w:rPr>
          <w:lang w:val="it-IT"/>
        </w:rPr>
        <w:t xml:space="preserve">adesione o la certificazione secondo un programma di conformità sociale riconosciuto (ad es. Fair </w:t>
      </w:r>
      <w:proofErr w:type="spellStart"/>
      <w:r w:rsidRPr="00556141">
        <w:rPr>
          <w:lang w:val="it-IT"/>
        </w:rPr>
        <w:t>Wear</w:t>
      </w:r>
      <w:proofErr w:type="spellEnd"/>
      <w:r w:rsidRPr="00556141">
        <w:rPr>
          <w:lang w:val="it-IT"/>
        </w:rPr>
        <w:t xml:space="preserve"> Foundation, SA8000 o equivalente) oppure</w:t>
      </w:r>
    </w:p>
    <w:p w14:paraId="3AA05BF0" w14:textId="77777777" w:rsidR="00CD7012" w:rsidRPr="00556141" w:rsidRDefault="00CD7012" w:rsidP="00CD7012">
      <w:pPr>
        <w:pStyle w:val="Listenabsatz"/>
        <w:numPr>
          <w:ilvl w:val="0"/>
          <w:numId w:val="17"/>
        </w:numPr>
        <w:rPr>
          <w:lang w:val="it-IT"/>
        </w:rPr>
      </w:pPr>
      <w:r w:rsidRPr="00556141">
        <w:rPr>
          <w:lang w:val="it-IT"/>
        </w:rPr>
        <w:t>prove documentali che dimostrino che i fornitori monitorano e garantiscono il rispetto di tali standard nei loro stabilimenti di produzione.</w:t>
      </w:r>
    </w:p>
    <w:p w14:paraId="47EB809A" w14:textId="77777777" w:rsidR="00CD7012" w:rsidRPr="00556141" w:rsidRDefault="00CD7012" w:rsidP="00CD7012">
      <w:pPr>
        <w:rPr>
          <w:lang w:val="it-IT"/>
        </w:rPr>
      </w:pPr>
    </w:p>
    <w:p w14:paraId="3FF73D55" w14:textId="2B08D11C" w:rsidR="00CD7012" w:rsidRPr="00556141" w:rsidRDefault="00CD7012" w:rsidP="00266FA4">
      <w:pPr>
        <w:rPr>
          <w:lang w:val="it-IT"/>
        </w:rPr>
      </w:pPr>
      <w:r w:rsidRPr="00556141">
        <w:rPr>
          <w:lang w:val="it-IT"/>
        </w:rPr>
        <w:t>Questo requisito viene applicato come clausola di adempimento contrattuale e verificato tramite rapporti dei fornitori ed eventualmente tramite audit indipendenti durante l</w:t>
      </w:r>
      <w:r w:rsidR="0058326F" w:rsidRPr="00556141">
        <w:rPr>
          <w:lang w:val="it-IT"/>
        </w:rPr>
        <w:t>’</w:t>
      </w:r>
      <w:r w:rsidRPr="00556141">
        <w:rPr>
          <w:lang w:val="it-IT"/>
        </w:rPr>
        <w:t>esecuzione.</w:t>
      </w:r>
    </w:p>
    <w:p w14:paraId="6C93ED1D" w14:textId="7FA36338" w:rsidR="00266FA4" w:rsidRPr="00556141" w:rsidRDefault="00CD7012" w:rsidP="00266FA4">
      <w:pPr>
        <w:rPr>
          <w:lang w:val="it-IT"/>
        </w:rPr>
      </w:pPr>
      <w:r w:rsidRPr="00556141">
        <w:rPr>
          <w:b/>
          <w:lang w:val="it-IT"/>
        </w:rPr>
        <w:t>Da fare</w:t>
      </w:r>
      <w:r w:rsidR="00266FA4" w:rsidRPr="00556141">
        <w:rPr>
          <w:b/>
          <w:bCs/>
          <w:lang w:val="it-IT"/>
        </w:rPr>
        <w:t xml:space="preserve">: </w:t>
      </w:r>
      <w:r w:rsidRPr="00556141">
        <w:rPr>
          <w:lang w:val="it-IT"/>
        </w:rPr>
        <w:t>fare riferimento esplicito a norme specifiche.</w:t>
      </w:r>
      <w:r w:rsidR="00266FA4" w:rsidRPr="00556141">
        <w:rPr>
          <w:lang w:val="it-IT"/>
        </w:rPr>
        <w:br/>
      </w:r>
      <w:r w:rsidR="00266FA4" w:rsidRPr="00556141">
        <w:rPr>
          <w:b/>
          <w:bCs/>
          <w:lang w:val="it-IT"/>
        </w:rPr>
        <w:t xml:space="preserve">Da non </w:t>
      </w:r>
      <w:r w:rsidRPr="00556141">
        <w:rPr>
          <w:lang w:val="it-IT"/>
        </w:rPr>
        <w:t>fare</w:t>
      </w:r>
      <w:r w:rsidR="00266FA4" w:rsidRPr="00556141">
        <w:rPr>
          <w:b/>
          <w:bCs/>
          <w:lang w:val="it-IT"/>
        </w:rPr>
        <w:t>:</w:t>
      </w:r>
      <w:r w:rsidRPr="00556141">
        <w:rPr>
          <w:lang w:val="it-IT"/>
        </w:rPr>
        <w:t xml:space="preserve"> utilizzare termini vaghi o soggettivi come </w:t>
      </w:r>
      <w:r w:rsidR="0058326F" w:rsidRPr="00556141">
        <w:rPr>
          <w:lang w:val="it-IT"/>
        </w:rPr>
        <w:t>“</w:t>
      </w:r>
      <w:r w:rsidRPr="00556141">
        <w:rPr>
          <w:lang w:val="it-IT"/>
        </w:rPr>
        <w:t>produzione etica</w:t>
      </w:r>
      <w:r w:rsidR="0058326F" w:rsidRPr="00556141">
        <w:rPr>
          <w:lang w:val="it-IT"/>
        </w:rPr>
        <w:t>”</w:t>
      </w:r>
      <w:r w:rsidRPr="00556141">
        <w:rPr>
          <w:lang w:val="it-IT"/>
        </w:rPr>
        <w:t xml:space="preserve"> senza definire come viene verificata la conformità.</w:t>
      </w:r>
    </w:p>
    <w:p w14:paraId="7DA149B5" w14:textId="77777777" w:rsidR="002651E3" w:rsidRPr="00556141" w:rsidRDefault="002651E3" w:rsidP="009D5F0A">
      <w:pPr>
        <w:rPr>
          <w:lang w:val="it-IT"/>
        </w:rPr>
      </w:pPr>
    </w:p>
    <w:sectPr w:rsidR="002651E3" w:rsidRPr="00556141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FEA40C" w14:textId="77777777" w:rsidR="00CD743F" w:rsidRDefault="00CD743F" w:rsidP="009D5F0A">
      <w:r>
        <w:separator/>
      </w:r>
    </w:p>
  </w:endnote>
  <w:endnote w:type="continuationSeparator" w:id="0">
    <w:p w14:paraId="6B4C1750" w14:textId="77777777" w:rsidR="00CD743F" w:rsidRDefault="00CD743F" w:rsidP="009D5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Serif">
    <w:panose1 w:val="02020604070405020304"/>
    <w:charset w:val="00"/>
    <w:family w:val="roman"/>
    <w:pitch w:val="variable"/>
    <w:sig w:usb0="A11526FF" w:usb1="C000ECFB" w:usb2="0001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87904" w14:textId="45D7750A" w:rsidR="009D5F0A" w:rsidRPr="009D5F0A" w:rsidRDefault="008F7A42" w:rsidP="009D5F0A">
    <w:pPr>
      <w:pStyle w:val="Fuzeile"/>
      <w:jc w:val="both"/>
      <w:rPr>
        <w:sz w:val="13"/>
        <w:szCs w:val="13"/>
        <w:lang w:val="en-US"/>
      </w:rPr>
    </w:pPr>
    <w:r w:rsidRPr="008F7A42">
      <w:rPr>
        <w:sz w:val="13"/>
        <w:szCs w:val="13"/>
      </w:rPr>
      <w:drawing>
        <wp:inline distT="0" distB="0" distL="0" distR="0" wp14:anchorId="75B1E196" wp14:editId="44283958">
          <wp:extent cx="3594100" cy="1435100"/>
          <wp:effectExtent l="0" t="0" r="0" b="0"/>
          <wp:docPr id="2" name="Grafik 1" descr="Ein Bild, das Text, Screenshot, Schrift enthält.&#10;&#10;KI-generierte Inhalte können fehlerhaft sein.">
            <a:hlinkClick xmlns:a="http://schemas.openxmlformats.org/drawingml/2006/main" r:id="rId1"/>
            <a:extLst xmlns:a="http://schemas.openxmlformats.org/drawingml/2006/main">
              <a:ext uri="{FF2B5EF4-FFF2-40B4-BE49-F238E27FC236}">
                <a16:creationId xmlns:a16="http://schemas.microsoft.com/office/drawing/2014/main" id="{3FA0F6F6-0644-3406-F153-5CFDBBBB1B4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1" descr="Ein Bild, das Text, Screenshot, Schrift enthält.&#10;&#10;KI-generierte Inhalte können fehlerhaft sein.">
                    <a:hlinkClick r:id="rId1"/>
                    <a:extLst>
                      <a:ext uri="{FF2B5EF4-FFF2-40B4-BE49-F238E27FC236}">
                        <a16:creationId xmlns:a16="http://schemas.microsoft.com/office/drawing/2014/main" id="{3FA0F6F6-0644-3406-F153-5CFDBBBB1B4E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594100" cy="1435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D50245" w14:textId="77777777" w:rsidR="00CD743F" w:rsidRDefault="00CD743F" w:rsidP="009D5F0A">
      <w:r>
        <w:separator/>
      </w:r>
    </w:p>
  </w:footnote>
  <w:footnote w:type="continuationSeparator" w:id="0">
    <w:p w14:paraId="76718C92" w14:textId="77777777" w:rsidR="00CD743F" w:rsidRDefault="00CD743F" w:rsidP="009D5F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9400F" w14:textId="77777777" w:rsidR="009D5F0A" w:rsidRDefault="009D5F0A">
    <w:pPr>
      <w:pStyle w:val="Kopfzeile"/>
    </w:pPr>
    <w:r>
      <w:rPr>
        <w:noProof/>
        <w:lang w:val="it-IT" w:eastAsia="it-IT"/>
      </w:rPr>
      <w:drawing>
        <wp:anchor distT="0" distB="0" distL="114300" distR="114300" simplePos="0" relativeHeight="251658240" behindDoc="1" locked="0" layoutInCell="1" allowOverlap="1" wp14:anchorId="5EA582CF" wp14:editId="0E981CDD">
          <wp:simplePos x="0" y="0"/>
          <wp:positionH relativeFrom="column">
            <wp:posOffset>5234305</wp:posOffset>
          </wp:positionH>
          <wp:positionV relativeFrom="paragraph">
            <wp:posOffset>-118745</wp:posOffset>
          </wp:positionV>
          <wp:extent cx="1089555" cy="570865"/>
          <wp:effectExtent l="0" t="0" r="3175" b="0"/>
          <wp:wrapTight wrapText="bothSides">
            <wp:wrapPolygon edited="0">
              <wp:start x="7809" y="0"/>
              <wp:lineTo x="6045" y="4325"/>
              <wp:lineTo x="6549" y="8169"/>
              <wp:lineTo x="1008" y="12013"/>
              <wp:lineTo x="504" y="12974"/>
              <wp:lineTo x="504" y="20182"/>
              <wp:lineTo x="2015" y="20182"/>
              <wp:lineTo x="20655" y="17780"/>
              <wp:lineTo x="21411" y="14897"/>
              <wp:lineTo x="20907" y="11533"/>
              <wp:lineTo x="11587" y="8169"/>
              <wp:lineTo x="12343" y="6247"/>
              <wp:lineTo x="11335" y="1922"/>
              <wp:lineTo x="8816" y="0"/>
              <wp:lineTo x="7809" y="0"/>
            </wp:wrapPolygon>
          </wp:wrapTight>
          <wp:docPr id="790707297" name="Grafik 1" descr="Ein Bild, das Grafiken, Screenshot, Grafikdesign, Schrif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0707297" name="Grafik 1" descr="Ein Bild, das Grafiken, Screenshot, Grafikdesign, Schrift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9555" cy="5708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336DD"/>
    <w:multiLevelType w:val="multilevel"/>
    <w:tmpl w:val="D7B27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CB1979"/>
    <w:multiLevelType w:val="multilevel"/>
    <w:tmpl w:val="EB360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123CA5"/>
    <w:multiLevelType w:val="hybridMultilevel"/>
    <w:tmpl w:val="A95EF45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F43B6B"/>
    <w:multiLevelType w:val="multilevel"/>
    <w:tmpl w:val="67663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B33766"/>
    <w:multiLevelType w:val="multilevel"/>
    <w:tmpl w:val="0FD47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EC1C32"/>
    <w:multiLevelType w:val="hybridMultilevel"/>
    <w:tmpl w:val="CB74D14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702E3B"/>
    <w:multiLevelType w:val="multilevel"/>
    <w:tmpl w:val="89E49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F7F5FAD"/>
    <w:multiLevelType w:val="multilevel"/>
    <w:tmpl w:val="7834E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2B61C35"/>
    <w:multiLevelType w:val="hybridMultilevel"/>
    <w:tmpl w:val="AC84C4B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6E76B5"/>
    <w:multiLevelType w:val="multilevel"/>
    <w:tmpl w:val="9710E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543477"/>
    <w:multiLevelType w:val="multilevel"/>
    <w:tmpl w:val="06D43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9D50D08"/>
    <w:multiLevelType w:val="hybridMultilevel"/>
    <w:tmpl w:val="392CAF4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7E267F"/>
    <w:multiLevelType w:val="multilevel"/>
    <w:tmpl w:val="0352B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C22212C"/>
    <w:multiLevelType w:val="multilevel"/>
    <w:tmpl w:val="90ACA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0A671CA"/>
    <w:multiLevelType w:val="hybridMultilevel"/>
    <w:tmpl w:val="4F62F46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F42DC3"/>
    <w:multiLevelType w:val="multilevel"/>
    <w:tmpl w:val="9B1A9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DBE2A35"/>
    <w:multiLevelType w:val="multilevel"/>
    <w:tmpl w:val="F94ED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34135186">
    <w:abstractNumId w:val="6"/>
  </w:num>
  <w:num w:numId="2" w16cid:durableId="1564095586">
    <w:abstractNumId w:val="12"/>
  </w:num>
  <w:num w:numId="3" w16cid:durableId="1039236713">
    <w:abstractNumId w:val="9"/>
  </w:num>
  <w:num w:numId="4" w16cid:durableId="1344699487">
    <w:abstractNumId w:val="1"/>
  </w:num>
  <w:num w:numId="5" w16cid:durableId="385109220">
    <w:abstractNumId w:val="15"/>
  </w:num>
  <w:num w:numId="6" w16cid:durableId="676537750">
    <w:abstractNumId w:val="13"/>
  </w:num>
  <w:num w:numId="7" w16cid:durableId="551312966">
    <w:abstractNumId w:val="0"/>
  </w:num>
  <w:num w:numId="8" w16cid:durableId="1411848923">
    <w:abstractNumId w:val="7"/>
  </w:num>
  <w:num w:numId="9" w16cid:durableId="234947024">
    <w:abstractNumId w:val="4"/>
  </w:num>
  <w:num w:numId="10" w16cid:durableId="1524322794">
    <w:abstractNumId w:val="3"/>
  </w:num>
  <w:num w:numId="11" w16cid:durableId="1475028606">
    <w:abstractNumId w:val="16"/>
  </w:num>
  <w:num w:numId="12" w16cid:durableId="938100856">
    <w:abstractNumId w:val="10"/>
  </w:num>
  <w:num w:numId="13" w16cid:durableId="788747193">
    <w:abstractNumId w:val="11"/>
  </w:num>
  <w:num w:numId="14" w16cid:durableId="55520472">
    <w:abstractNumId w:val="8"/>
  </w:num>
  <w:num w:numId="15" w16cid:durableId="655763960">
    <w:abstractNumId w:val="2"/>
  </w:num>
  <w:num w:numId="16" w16cid:durableId="549852487">
    <w:abstractNumId w:val="14"/>
  </w:num>
  <w:num w:numId="17" w16cid:durableId="182041950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6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59E"/>
    <w:rsid w:val="00015A7F"/>
    <w:rsid w:val="000661CD"/>
    <w:rsid w:val="000E1AA4"/>
    <w:rsid w:val="0011793C"/>
    <w:rsid w:val="0012036A"/>
    <w:rsid w:val="001A2DDA"/>
    <w:rsid w:val="001B1AFA"/>
    <w:rsid w:val="001B627C"/>
    <w:rsid w:val="001F159E"/>
    <w:rsid w:val="002651E3"/>
    <w:rsid w:val="00266FA4"/>
    <w:rsid w:val="00295429"/>
    <w:rsid w:val="002B43FA"/>
    <w:rsid w:val="002E170F"/>
    <w:rsid w:val="00311B19"/>
    <w:rsid w:val="00353C12"/>
    <w:rsid w:val="003D434F"/>
    <w:rsid w:val="00450DC5"/>
    <w:rsid w:val="00494ED8"/>
    <w:rsid w:val="00556141"/>
    <w:rsid w:val="00567D01"/>
    <w:rsid w:val="00576B0F"/>
    <w:rsid w:val="0058326F"/>
    <w:rsid w:val="005943CD"/>
    <w:rsid w:val="006441BD"/>
    <w:rsid w:val="006734DE"/>
    <w:rsid w:val="00702CC3"/>
    <w:rsid w:val="0073446D"/>
    <w:rsid w:val="007456AC"/>
    <w:rsid w:val="00764122"/>
    <w:rsid w:val="007711CC"/>
    <w:rsid w:val="0082385F"/>
    <w:rsid w:val="008360E2"/>
    <w:rsid w:val="00842E94"/>
    <w:rsid w:val="008F7A42"/>
    <w:rsid w:val="00934AAF"/>
    <w:rsid w:val="009607B3"/>
    <w:rsid w:val="009B660C"/>
    <w:rsid w:val="009C0E63"/>
    <w:rsid w:val="009D5F0A"/>
    <w:rsid w:val="00AE4366"/>
    <w:rsid w:val="00BE02A2"/>
    <w:rsid w:val="00CB3455"/>
    <w:rsid w:val="00CC0C3D"/>
    <w:rsid w:val="00CD7012"/>
    <w:rsid w:val="00CD743F"/>
    <w:rsid w:val="00D55EC8"/>
    <w:rsid w:val="00DB6810"/>
    <w:rsid w:val="00E3628D"/>
    <w:rsid w:val="00E95C06"/>
    <w:rsid w:val="00EA7BDD"/>
    <w:rsid w:val="00EE53DE"/>
    <w:rsid w:val="00EF668E"/>
    <w:rsid w:val="00F666B5"/>
    <w:rsid w:val="00FC3822"/>
    <w:rsid w:val="00FF3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DEADC2"/>
  <w15:chartTrackingRefBased/>
  <w15:docId w15:val="{F93C2055-F7FB-48F1-889F-F88F38D13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F159E"/>
    <w:pPr>
      <w:spacing w:after="160" w:line="259" w:lineRule="auto"/>
    </w:pPr>
    <w:rPr>
      <w:kern w:val="0"/>
      <w:sz w:val="22"/>
      <w:szCs w:val="22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9D5F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9D5F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9D5F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D5F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D5F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D5F0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D5F0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D5F0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D5F0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D5F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9D5F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9D5F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D5F0A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D5F0A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D5F0A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D5F0A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D5F0A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D5F0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9D5F0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9D5F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D5F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D5F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9D5F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9D5F0A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9D5F0A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9D5F0A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9D5F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D5F0A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9D5F0A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9D5F0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D5F0A"/>
  </w:style>
  <w:style w:type="paragraph" w:styleId="Fuzeile">
    <w:name w:val="footer"/>
    <w:basedOn w:val="Standard"/>
    <w:link w:val="FuzeileZchn"/>
    <w:uiPriority w:val="99"/>
    <w:unhideWhenUsed/>
    <w:rsid w:val="009D5F0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D5F0A"/>
  </w:style>
  <w:style w:type="paragraph" w:styleId="StandardWeb">
    <w:name w:val="Normal (Web)"/>
    <w:basedOn w:val="Standard"/>
    <w:uiPriority w:val="99"/>
    <w:semiHidden/>
    <w:unhideWhenUsed/>
    <w:rsid w:val="000E1AA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2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https://creativecommons.org/licenses/by-nc-sa/4.0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kathrinholstein/Downloads/proCURE_Word_template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proCURE_Word_template.dotx</Template>
  <TotalTime>0</TotalTime>
  <Pages>6</Pages>
  <Words>1181</Words>
  <Characters>7443</Characters>
  <Application>Microsoft Office Word</Application>
  <DocSecurity>0</DocSecurity>
  <Lines>62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Vivien Führ</dc:creator>
  <cp:keywords>, docId:47C755D60955CE72DAC26D0AAE2051B7</cp:keywords>
  <dc:description/>
  <cp:lastModifiedBy>Henrieta Winklhofer</cp:lastModifiedBy>
  <cp:revision>20</cp:revision>
  <dcterms:created xsi:type="dcterms:W3CDTF">2025-12-15T13:40:00Z</dcterms:created>
  <dcterms:modified xsi:type="dcterms:W3CDTF">2026-01-22T10:02:00Z</dcterms:modified>
</cp:coreProperties>
</file>